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1FA7D" w14:textId="4D53A0E3" w:rsidR="00D94033" w:rsidRPr="007838F0" w:rsidRDefault="00D94033" w:rsidP="00D94033">
      <w:pPr>
        <w:pStyle w:val="NormalWeb"/>
        <w:spacing w:before="0" w:beforeAutospacing="0" w:after="0" w:afterAutospacing="0" w:line="360" w:lineRule="auto"/>
        <w:jc w:val="center"/>
        <w:rPr>
          <w:rFonts w:ascii="Arial" w:hAnsi="Arial" w:cs="Arial"/>
          <w:b/>
          <w:bCs/>
          <w:sz w:val="28"/>
          <w:szCs w:val="28"/>
          <w:lang w:val="en-US"/>
        </w:rPr>
      </w:pPr>
      <w:r>
        <w:rPr>
          <w:rFonts w:ascii="Arial" w:hAnsi="Arial" w:cs="Arial"/>
          <w:b/>
          <w:bCs/>
          <w:sz w:val="28"/>
          <w:szCs w:val="28"/>
          <w:lang w:val="en-US"/>
        </w:rPr>
        <w:t>“</w:t>
      </w:r>
      <w:r>
        <w:rPr>
          <w:rFonts w:ascii="Arial" w:hAnsi="Arial" w:cs="Arial"/>
          <w:b/>
          <w:bCs/>
          <w:lang w:val="en-US"/>
        </w:rPr>
        <w:t xml:space="preserve">SUPREME COURT OF APPEAL RULES IN FAVOUR OF THE </w:t>
      </w:r>
      <w:r w:rsidRPr="005F3248">
        <w:rPr>
          <w:rFonts w:ascii="Arial" w:hAnsi="Arial" w:cs="Arial"/>
          <w:b/>
          <w:bCs/>
          <w:lang w:val="en-US"/>
        </w:rPr>
        <w:t>NATIONAL CREDIT REGULATOR</w:t>
      </w:r>
      <w:r>
        <w:rPr>
          <w:rFonts w:ascii="Arial" w:hAnsi="Arial" w:cs="Arial"/>
          <w:b/>
          <w:bCs/>
          <w:lang w:val="en-US"/>
        </w:rPr>
        <w:t>, AND DELIVERS VICTORY FOR CONSUMERS</w:t>
      </w:r>
      <w:r w:rsidRPr="005F3248">
        <w:rPr>
          <w:rFonts w:ascii="Arial" w:hAnsi="Arial" w:cs="Arial"/>
          <w:b/>
          <w:bCs/>
          <w:lang w:val="en-US"/>
        </w:rPr>
        <w:t>”</w:t>
      </w:r>
    </w:p>
    <w:p w14:paraId="6B0DFCBC" w14:textId="77777777" w:rsidR="008B78CF" w:rsidRDefault="00000000" w:rsidP="008B78CF">
      <w:pPr>
        <w:pStyle w:val="NormalWeb"/>
        <w:spacing w:before="0" w:beforeAutospacing="0" w:after="0" w:afterAutospacing="0" w:line="360" w:lineRule="auto"/>
      </w:pPr>
      <w:r>
        <w:rPr>
          <w:noProof/>
          <w14:ligatures w14:val="standardContextual"/>
        </w:rPr>
        <w:pict w14:anchorId="504C9919">
          <v:rect id="_x0000_i1025" alt="" style="width:451.3pt;height:.05pt;mso-width-percent:0;mso-height-percent:0;mso-width-percent:0;mso-height-percent:0" o:hralign="center" o:hrstd="t" o:hr="t" fillcolor="#a0a0a0" stroked="f"/>
        </w:pict>
      </w:r>
    </w:p>
    <w:p w14:paraId="12A5A120" w14:textId="26E26AD0" w:rsidR="008B78CF" w:rsidRDefault="005F3248" w:rsidP="008B78CF">
      <w:pPr>
        <w:pStyle w:val="NormalWeb"/>
        <w:spacing w:before="0" w:beforeAutospacing="0" w:after="0" w:afterAutospacing="0"/>
        <w:rPr>
          <w:rStyle w:val="Strong"/>
          <w:rFonts w:ascii="Arial" w:hAnsi="Arial" w:cs="Arial"/>
        </w:rPr>
      </w:pPr>
      <w:r>
        <w:rPr>
          <w:rFonts w:ascii="Arial" w:hAnsi="Arial" w:cs="Arial"/>
          <w:b/>
        </w:rPr>
        <w:t>APRIL</w:t>
      </w:r>
      <w:r w:rsidR="008B78CF">
        <w:rPr>
          <w:rFonts w:ascii="Arial" w:hAnsi="Arial" w:cs="Arial"/>
          <w:b/>
        </w:rPr>
        <w:t xml:space="preserve"> 2025</w:t>
      </w:r>
      <w:r w:rsidR="008B78CF" w:rsidRPr="009B1EBB">
        <w:rPr>
          <w:rStyle w:val="Strong"/>
          <w:rFonts w:ascii="Arial" w:hAnsi="Arial" w:cs="Arial"/>
        </w:rPr>
        <w:tab/>
      </w:r>
      <w:r w:rsidR="008B78CF" w:rsidRPr="009B1EBB">
        <w:rPr>
          <w:rStyle w:val="Strong"/>
          <w:rFonts w:ascii="Arial" w:hAnsi="Arial" w:cs="Arial"/>
        </w:rPr>
        <w:tab/>
      </w:r>
      <w:r w:rsidR="008B78CF" w:rsidRPr="009B1EBB">
        <w:rPr>
          <w:rStyle w:val="Strong"/>
          <w:rFonts w:ascii="Arial" w:hAnsi="Arial" w:cs="Arial"/>
        </w:rPr>
        <w:tab/>
      </w:r>
      <w:r w:rsidR="008B78CF" w:rsidRPr="009B1EBB">
        <w:rPr>
          <w:rStyle w:val="Strong"/>
          <w:rFonts w:ascii="Arial" w:hAnsi="Arial" w:cs="Arial"/>
        </w:rPr>
        <w:tab/>
        <w:t xml:space="preserve">  </w:t>
      </w:r>
      <w:r w:rsidR="008B78CF">
        <w:rPr>
          <w:rStyle w:val="Strong"/>
          <w:rFonts w:ascii="Arial" w:hAnsi="Arial" w:cs="Arial"/>
        </w:rPr>
        <w:tab/>
        <w:t xml:space="preserve">  </w:t>
      </w:r>
      <w:r w:rsidR="008B78CF">
        <w:rPr>
          <w:rStyle w:val="Strong"/>
          <w:rFonts w:ascii="Arial" w:hAnsi="Arial" w:cs="Arial"/>
        </w:rPr>
        <w:tab/>
        <w:t xml:space="preserve">     </w:t>
      </w:r>
      <w:r w:rsidR="008B78CF">
        <w:rPr>
          <w:rStyle w:val="Strong"/>
          <w:rFonts w:ascii="Arial" w:hAnsi="Arial" w:cs="Arial"/>
        </w:rPr>
        <w:tab/>
      </w:r>
      <w:r w:rsidR="009F051C">
        <w:rPr>
          <w:rStyle w:val="Strong"/>
          <w:rFonts w:ascii="Arial" w:hAnsi="Arial" w:cs="Arial"/>
        </w:rPr>
        <w:t xml:space="preserve">        </w:t>
      </w:r>
      <w:r>
        <w:rPr>
          <w:rStyle w:val="Strong"/>
          <w:rFonts w:ascii="Arial" w:hAnsi="Arial" w:cs="Arial"/>
        </w:rPr>
        <w:tab/>
      </w:r>
      <w:r w:rsidR="009F051C">
        <w:rPr>
          <w:rStyle w:val="Strong"/>
          <w:rFonts w:ascii="Arial" w:hAnsi="Arial" w:cs="Arial"/>
        </w:rPr>
        <w:t xml:space="preserve"> </w:t>
      </w:r>
      <w:r w:rsidR="00D94033">
        <w:rPr>
          <w:rStyle w:val="Strong"/>
          <w:rFonts w:ascii="Arial" w:hAnsi="Arial" w:cs="Arial"/>
        </w:rPr>
        <w:t xml:space="preserve">        </w:t>
      </w:r>
      <w:r w:rsidR="008B78CF" w:rsidRPr="009B1EBB">
        <w:rPr>
          <w:rStyle w:val="Strong"/>
          <w:rFonts w:ascii="Arial" w:hAnsi="Arial" w:cs="Arial"/>
        </w:rPr>
        <w:t>IMMEDIATE RELEASE</w:t>
      </w:r>
    </w:p>
    <w:p w14:paraId="780FCD82" w14:textId="77777777" w:rsidR="00D94033" w:rsidRPr="00D94033" w:rsidRDefault="00D94033" w:rsidP="008B78CF">
      <w:pPr>
        <w:pStyle w:val="NormalWeb"/>
        <w:spacing w:before="0" w:beforeAutospacing="0" w:after="0" w:afterAutospacing="0"/>
        <w:rPr>
          <w:rFonts w:ascii="Arial" w:hAnsi="Arial" w:cs="Arial"/>
          <w:sz w:val="11"/>
          <w:szCs w:val="11"/>
        </w:rPr>
      </w:pPr>
    </w:p>
    <w:p w14:paraId="77230098" w14:textId="77777777" w:rsidR="008B78CF" w:rsidRPr="009B1EBB" w:rsidRDefault="00000000" w:rsidP="008B78CF">
      <w:pPr>
        <w:jc w:val="center"/>
        <w:rPr>
          <w:sz w:val="13"/>
          <w:szCs w:val="13"/>
        </w:rPr>
      </w:pPr>
      <w:r>
        <w:rPr>
          <w:noProof/>
          <w:sz w:val="13"/>
          <w:szCs w:val="13"/>
          <w14:ligatures w14:val="standardContextual"/>
        </w:rPr>
        <w:pict w14:anchorId="259A2A40">
          <v:rect id="_x0000_i1026" alt="" style="width:451.3pt;height:.05pt;mso-width-percent:0;mso-height-percent:0;mso-width-percent:0;mso-height-percent:0" o:hralign="center" o:hrstd="t" o:hr="t" fillcolor="#a0a0a0" stroked="f"/>
        </w:pict>
      </w:r>
    </w:p>
    <w:p w14:paraId="14DABB5C" w14:textId="77777777" w:rsidR="008B78CF" w:rsidRPr="00785EC2" w:rsidRDefault="008B78CF" w:rsidP="008B78CF">
      <w:pPr>
        <w:rPr>
          <w:rFonts w:ascii="Arial" w:eastAsia="Calibri" w:hAnsi="Arial" w:cs="Arial"/>
          <w:b/>
          <w:bCs/>
          <w:color w:val="FF0000"/>
          <w:sz w:val="12"/>
          <w:szCs w:val="12"/>
        </w:rPr>
      </w:pPr>
    </w:p>
    <w:p w14:paraId="68FC921F" w14:textId="77777777" w:rsidR="00D94033" w:rsidRPr="00D94033" w:rsidRDefault="00D94033" w:rsidP="00D94033">
      <w:pPr>
        <w:spacing w:line="360" w:lineRule="auto"/>
        <w:jc w:val="both"/>
        <w:rPr>
          <w:rFonts w:ascii="Arial" w:hAnsi="Arial" w:cs="Arial"/>
          <w:b/>
          <w:bCs/>
          <w:sz w:val="10"/>
          <w:szCs w:val="10"/>
          <w:lang w:val="en-ZA" w:eastAsia="en-GB"/>
        </w:rPr>
      </w:pPr>
    </w:p>
    <w:p w14:paraId="189D0578" w14:textId="4273A137" w:rsidR="00D94033" w:rsidRPr="007838F0" w:rsidRDefault="00D94033" w:rsidP="00D94033">
      <w:pPr>
        <w:spacing w:line="360" w:lineRule="auto"/>
        <w:jc w:val="both"/>
        <w:rPr>
          <w:rFonts w:ascii="Arial" w:hAnsi="Arial" w:cs="Arial"/>
          <w:lang w:val="en-ZA" w:eastAsia="en-GB"/>
        </w:rPr>
      </w:pPr>
      <w:r w:rsidRPr="00D94033">
        <w:rPr>
          <w:rFonts w:ascii="Arial" w:hAnsi="Arial" w:cs="Arial"/>
          <w:b/>
          <w:bCs/>
          <w:lang w:val="en-ZA" w:eastAsia="en-GB"/>
        </w:rPr>
        <w:t>JOHANNESBURG</w:t>
      </w:r>
      <w:r w:rsidRPr="007838F0">
        <w:rPr>
          <w:rFonts w:ascii="Arial" w:hAnsi="Arial" w:cs="Arial"/>
          <w:b/>
          <w:bCs/>
          <w:lang w:val="en-ZA" w:eastAsia="en-GB"/>
        </w:rPr>
        <w:t xml:space="preserve">, </w:t>
      </w:r>
      <w:r w:rsidRPr="00D94033">
        <w:rPr>
          <w:rFonts w:ascii="Arial" w:hAnsi="Arial" w:cs="Arial"/>
          <w:b/>
          <w:bCs/>
          <w:lang w:val="en-ZA" w:eastAsia="en-GB"/>
        </w:rPr>
        <w:t>15</w:t>
      </w:r>
      <w:r w:rsidRPr="007838F0">
        <w:rPr>
          <w:rFonts w:ascii="Arial" w:hAnsi="Arial" w:cs="Arial"/>
          <w:b/>
          <w:bCs/>
          <w:lang w:val="en-ZA" w:eastAsia="en-GB"/>
        </w:rPr>
        <w:t xml:space="preserve"> April 2025</w:t>
      </w:r>
      <w:r w:rsidRPr="007838F0">
        <w:rPr>
          <w:rFonts w:ascii="Arial" w:hAnsi="Arial" w:cs="Arial"/>
          <w:lang w:val="en-ZA" w:eastAsia="en-GB"/>
        </w:rPr>
        <w:t xml:space="preserve"> – </w:t>
      </w:r>
      <w:r w:rsidRPr="00D94033">
        <w:rPr>
          <w:rFonts w:ascii="Arial" w:hAnsi="Arial" w:cs="Arial"/>
          <w:lang w:val="en-ZA" w:eastAsia="en-GB"/>
        </w:rPr>
        <w:t>In what is a huge victory for South Africa’s credit consumers,</w:t>
      </w:r>
      <w:r>
        <w:rPr>
          <w:rFonts w:cs="Arial"/>
          <w:lang w:val="en-ZA" w:eastAsia="en-GB"/>
        </w:rPr>
        <w:t xml:space="preserve"> t</w:t>
      </w:r>
      <w:r w:rsidRPr="007838F0">
        <w:rPr>
          <w:rFonts w:ascii="Arial" w:hAnsi="Arial" w:cs="Arial"/>
          <w:lang w:val="en-ZA" w:eastAsia="en-GB"/>
        </w:rPr>
        <w:t xml:space="preserve">he National Credit Regulator (NCR) has welcomed a significant Supreme Court of Appeal (SCA) </w:t>
      </w:r>
      <w:r>
        <w:rPr>
          <w:rFonts w:ascii="Arial" w:hAnsi="Arial" w:cs="Arial"/>
          <w:lang w:val="en-ZA" w:eastAsia="en-GB"/>
        </w:rPr>
        <w:t xml:space="preserve">landmark </w:t>
      </w:r>
      <w:r w:rsidRPr="007838F0">
        <w:rPr>
          <w:rFonts w:ascii="Arial" w:hAnsi="Arial" w:cs="Arial"/>
          <w:lang w:val="en-ZA" w:eastAsia="en-GB"/>
        </w:rPr>
        <w:t>judgment handed down on Tuesday, 8 April 2025</w:t>
      </w:r>
      <w:r>
        <w:rPr>
          <w:rFonts w:cs="Arial"/>
          <w:lang w:val="en-ZA" w:eastAsia="en-GB"/>
        </w:rPr>
        <w:t xml:space="preserve">. </w:t>
      </w:r>
    </w:p>
    <w:p w14:paraId="5AE79C64" w14:textId="77777777" w:rsidR="00D94033" w:rsidRPr="007838F0" w:rsidRDefault="00D94033" w:rsidP="00D94033">
      <w:pPr>
        <w:spacing w:line="360" w:lineRule="auto"/>
        <w:rPr>
          <w:rFonts w:cs="Arial"/>
          <w:sz w:val="10"/>
          <w:szCs w:val="10"/>
          <w:lang w:val="en-ZA" w:eastAsia="en-GB"/>
        </w:rPr>
      </w:pPr>
    </w:p>
    <w:p w14:paraId="02679354" w14:textId="3313A1FA" w:rsidR="00D94033" w:rsidRPr="007838F0" w:rsidRDefault="00D94033" w:rsidP="00D94033">
      <w:pPr>
        <w:spacing w:line="360" w:lineRule="auto"/>
        <w:jc w:val="both"/>
        <w:rPr>
          <w:rFonts w:ascii="Arial" w:hAnsi="Arial" w:cs="Arial"/>
          <w:lang w:val="en-ZA" w:eastAsia="en-GB"/>
        </w:rPr>
      </w:pPr>
      <w:r w:rsidRPr="007838F0">
        <w:rPr>
          <w:rFonts w:ascii="Arial" w:hAnsi="Arial" w:cs="Arial"/>
          <w:lang w:val="en-ZA" w:eastAsia="en-GB"/>
        </w:rPr>
        <w:t>The judgment, delivered in Bloemfontein</w:t>
      </w:r>
      <w:r w:rsidR="003C1C6D">
        <w:rPr>
          <w:rFonts w:ascii="Arial" w:hAnsi="Arial" w:cs="Arial"/>
          <w:lang w:val="en-ZA" w:eastAsia="en-GB"/>
        </w:rPr>
        <w:t>, followed</w:t>
      </w:r>
      <w:r w:rsidRPr="007838F0">
        <w:rPr>
          <w:rFonts w:ascii="Arial" w:hAnsi="Arial" w:cs="Arial"/>
          <w:lang w:val="en-ZA" w:eastAsia="en-GB"/>
        </w:rPr>
        <w:t xml:space="preserve"> </w:t>
      </w:r>
      <w:r w:rsidR="003C1C6D">
        <w:rPr>
          <w:rFonts w:ascii="Arial" w:hAnsi="Arial" w:cs="Arial"/>
          <w:lang w:val="en-ZA" w:eastAsia="en-GB"/>
        </w:rPr>
        <w:t xml:space="preserve">an Appeal brought by </w:t>
      </w:r>
      <w:r w:rsidRPr="007838F0">
        <w:rPr>
          <w:rFonts w:ascii="Arial" w:hAnsi="Arial" w:cs="Arial"/>
          <w:lang w:val="en-ZA" w:eastAsia="en-GB"/>
        </w:rPr>
        <w:t xml:space="preserve">Pretoria-based Loan Company (Pty) Ltd (“the Loan Company”), following </w:t>
      </w:r>
      <w:r w:rsidR="003C1C6D">
        <w:rPr>
          <w:rFonts w:ascii="Arial" w:hAnsi="Arial" w:cs="Arial"/>
          <w:lang w:val="en-ZA" w:eastAsia="en-GB"/>
        </w:rPr>
        <w:t>a judgement handed by the National Consumer Tribunal (“the Tribunal”).</w:t>
      </w:r>
    </w:p>
    <w:p w14:paraId="5A8BBFAD" w14:textId="77777777" w:rsidR="00D94033" w:rsidRPr="007838F0" w:rsidRDefault="00D94033" w:rsidP="00D94033">
      <w:pPr>
        <w:spacing w:line="360" w:lineRule="auto"/>
        <w:rPr>
          <w:rFonts w:cs="Arial"/>
          <w:sz w:val="10"/>
          <w:szCs w:val="10"/>
          <w:lang w:val="en-ZA" w:eastAsia="en-GB"/>
        </w:rPr>
      </w:pPr>
    </w:p>
    <w:p w14:paraId="3E45389A" w14:textId="67765171" w:rsidR="00D94033" w:rsidRPr="007838F0" w:rsidRDefault="00D94033" w:rsidP="00D94033">
      <w:pPr>
        <w:spacing w:line="360" w:lineRule="auto"/>
        <w:jc w:val="both"/>
        <w:rPr>
          <w:rFonts w:ascii="Arial" w:hAnsi="Arial" w:cs="Arial"/>
          <w:lang w:val="en-ZA" w:eastAsia="en-GB"/>
        </w:rPr>
      </w:pPr>
      <w:r w:rsidRPr="007838F0">
        <w:rPr>
          <w:rFonts w:ascii="Arial" w:hAnsi="Arial" w:cs="Arial"/>
          <w:lang w:val="en-ZA" w:eastAsia="en-GB"/>
        </w:rPr>
        <w:t>In its decision, the SCA upheld the earlier ruling by the Tribunal, which found that the Loan Company had contravened several provisions of the National Credit Act 34 of 2005 (NCA). The Tribunal declared the company’s conduct unlawful, imposed an administrative fine of R250,000, and ordered restitution for affected consumers.</w:t>
      </w:r>
    </w:p>
    <w:p w14:paraId="009933E1" w14:textId="77777777" w:rsidR="00D94033" w:rsidRPr="007838F0" w:rsidRDefault="00D94033" w:rsidP="00D94033">
      <w:pPr>
        <w:spacing w:line="360" w:lineRule="auto"/>
        <w:rPr>
          <w:rFonts w:cs="Arial"/>
          <w:sz w:val="10"/>
          <w:szCs w:val="10"/>
          <w:lang w:val="en-ZA" w:eastAsia="en-GB"/>
        </w:rPr>
      </w:pPr>
    </w:p>
    <w:p w14:paraId="00EBE0D4" w14:textId="77777777" w:rsidR="00D94033" w:rsidRPr="007838F0" w:rsidRDefault="00D94033" w:rsidP="00D94033">
      <w:pPr>
        <w:spacing w:line="360" w:lineRule="auto"/>
        <w:rPr>
          <w:rFonts w:cs="Arial"/>
          <w:sz w:val="10"/>
          <w:szCs w:val="10"/>
          <w:lang w:val="en-ZA" w:eastAsia="en-GB"/>
        </w:rPr>
      </w:pPr>
    </w:p>
    <w:p w14:paraId="741CCB90" w14:textId="77777777" w:rsidR="00D94033" w:rsidRPr="00D94033" w:rsidRDefault="00D94033" w:rsidP="00D94033">
      <w:pPr>
        <w:spacing w:line="360" w:lineRule="auto"/>
        <w:rPr>
          <w:rFonts w:ascii="Arial" w:hAnsi="Arial" w:cs="Arial"/>
          <w:lang w:val="en-ZA" w:eastAsia="en-GB"/>
        </w:rPr>
      </w:pPr>
      <w:r w:rsidRPr="007838F0">
        <w:rPr>
          <w:rFonts w:ascii="Arial" w:hAnsi="Arial" w:cs="Arial"/>
          <w:lang w:val="en-ZA" w:eastAsia="en-GB"/>
        </w:rPr>
        <w:t>The Tribunal’s ruling included key remedial measures</w:t>
      </w:r>
      <w:r w:rsidRPr="00D94033">
        <w:rPr>
          <w:rFonts w:ascii="Arial" w:hAnsi="Arial" w:cs="Arial"/>
          <w:lang w:val="en-ZA" w:eastAsia="en-GB"/>
        </w:rPr>
        <w:t>, namely that</w:t>
      </w:r>
      <w:r w:rsidRPr="007838F0">
        <w:rPr>
          <w:rFonts w:ascii="Arial" w:hAnsi="Arial" w:cs="Arial"/>
          <w:lang w:val="en-ZA" w:eastAsia="en-GB"/>
        </w:rPr>
        <w:t>:</w:t>
      </w:r>
    </w:p>
    <w:p w14:paraId="0FBA51C2" w14:textId="77777777" w:rsidR="00D94033" w:rsidRPr="007838F0" w:rsidRDefault="00D94033" w:rsidP="00D94033">
      <w:pPr>
        <w:spacing w:line="360" w:lineRule="auto"/>
        <w:jc w:val="both"/>
        <w:rPr>
          <w:rFonts w:ascii="Arial" w:hAnsi="Arial" w:cs="Arial"/>
          <w:sz w:val="10"/>
          <w:szCs w:val="10"/>
          <w:lang w:val="en-ZA" w:eastAsia="en-GB"/>
        </w:rPr>
      </w:pPr>
    </w:p>
    <w:p w14:paraId="79DF3F16" w14:textId="77777777" w:rsidR="00D94033" w:rsidRPr="007838F0" w:rsidRDefault="00D94033" w:rsidP="00D94033">
      <w:pPr>
        <w:numPr>
          <w:ilvl w:val="0"/>
          <w:numId w:val="8"/>
        </w:numPr>
        <w:tabs>
          <w:tab w:val="clear" w:pos="720"/>
          <w:tab w:val="num" w:pos="426"/>
        </w:tabs>
        <w:spacing w:line="360" w:lineRule="auto"/>
        <w:ind w:left="426"/>
        <w:jc w:val="both"/>
        <w:rPr>
          <w:rFonts w:ascii="Arial" w:hAnsi="Arial" w:cs="Arial"/>
          <w:i/>
          <w:iCs/>
          <w:lang w:val="en-ZA" w:eastAsia="en-GB"/>
        </w:rPr>
      </w:pPr>
      <w:r w:rsidRPr="007838F0">
        <w:rPr>
          <w:rFonts w:ascii="Arial" w:hAnsi="Arial" w:cs="Arial"/>
          <w:i/>
          <w:iCs/>
          <w:lang w:val="en-ZA" w:eastAsia="en-GB"/>
        </w:rPr>
        <w:t>The Loan Company must refund consumers any amounts paid in excess of the original loan amounts.</w:t>
      </w:r>
    </w:p>
    <w:p w14:paraId="0484375E" w14:textId="77777777" w:rsidR="00D94033" w:rsidRPr="007838F0" w:rsidRDefault="00D94033" w:rsidP="00D94033">
      <w:pPr>
        <w:numPr>
          <w:ilvl w:val="0"/>
          <w:numId w:val="8"/>
        </w:numPr>
        <w:tabs>
          <w:tab w:val="clear" w:pos="720"/>
          <w:tab w:val="num" w:pos="426"/>
        </w:tabs>
        <w:spacing w:line="360" w:lineRule="auto"/>
        <w:ind w:left="426"/>
        <w:jc w:val="both"/>
        <w:rPr>
          <w:rFonts w:ascii="Arial" w:hAnsi="Arial" w:cs="Arial"/>
          <w:i/>
          <w:iCs/>
          <w:lang w:val="en-ZA" w:eastAsia="en-GB"/>
        </w:rPr>
      </w:pPr>
      <w:r w:rsidRPr="007838F0">
        <w:rPr>
          <w:rFonts w:ascii="Arial" w:hAnsi="Arial" w:cs="Arial"/>
          <w:i/>
          <w:iCs/>
          <w:lang w:val="en-ZA" w:eastAsia="en-GB"/>
        </w:rPr>
        <w:t>Pawned goods must be returned to the consumers or, where goods were sold, consumers must be paid the full sale proceeds less the outstanding loan balance.</w:t>
      </w:r>
    </w:p>
    <w:p w14:paraId="791C9E9F" w14:textId="1580A062" w:rsidR="009742FB" w:rsidRPr="009742FB" w:rsidRDefault="00D94033" w:rsidP="009742FB">
      <w:pPr>
        <w:numPr>
          <w:ilvl w:val="0"/>
          <w:numId w:val="8"/>
        </w:numPr>
        <w:tabs>
          <w:tab w:val="clear" w:pos="720"/>
          <w:tab w:val="num" w:pos="426"/>
        </w:tabs>
        <w:spacing w:line="360" w:lineRule="auto"/>
        <w:ind w:left="426"/>
        <w:jc w:val="both"/>
        <w:rPr>
          <w:rFonts w:ascii="Arial" w:hAnsi="Arial" w:cs="Arial"/>
          <w:i/>
          <w:iCs/>
          <w:lang w:val="en-ZA" w:eastAsia="en-GB"/>
        </w:rPr>
      </w:pPr>
      <w:r w:rsidRPr="00D94033">
        <w:rPr>
          <w:rFonts w:ascii="Arial" w:hAnsi="Arial" w:cs="Arial"/>
          <w:i/>
          <w:iCs/>
          <w:lang w:val="en-ZA" w:eastAsia="en-GB"/>
        </w:rPr>
        <w:t>The Loan Company should pay a</w:t>
      </w:r>
      <w:r w:rsidRPr="007838F0">
        <w:rPr>
          <w:rFonts w:ascii="Arial" w:hAnsi="Arial" w:cs="Arial"/>
          <w:i/>
          <w:iCs/>
          <w:lang w:val="en-ZA" w:eastAsia="en-GB"/>
        </w:rPr>
        <w:t>n administrative fine of R250,000.</w:t>
      </w:r>
    </w:p>
    <w:p w14:paraId="1CBE9B37" w14:textId="77777777" w:rsidR="00D94033" w:rsidRPr="007838F0" w:rsidRDefault="00D94033" w:rsidP="00D94033">
      <w:pPr>
        <w:spacing w:line="360" w:lineRule="auto"/>
        <w:rPr>
          <w:rFonts w:cs="Arial"/>
          <w:sz w:val="10"/>
          <w:szCs w:val="10"/>
          <w:lang w:val="en-ZA" w:eastAsia="en-GB"/>
        </w:rPr>
      </w:pPr>
    </w:p>
    <w:p w14:paraId="6F48075A" w14:textId="2650C459" w:rsidR="00D94033" w:rsidRDefault="00D94033" w:rsidP="00D94033">
      <w:pPr>
        <w:spacing w:line="360" w:lineRule="auto"/>
        <w:outlineLvl w:val="2"/>
        <w:rPr>
          <w:rFonts w:ascii="Arial" w:hAnsi="Arial" w:cs="Arial"/>
          <w:b/>
          <w:bCs/>
          <w:lang w:val="en-ZA" w:eastAsia="en-GB"/>
        </w:rPr>
      </w:pPr>
      <w:r w:rsidRPr="00D94033">
        <w:rPr>
          <w:rFonts w:ascii="Arial" w:hAnsi="Arial" w:cs="Arial"/>
          <w:b/>
          <w:bCs/>
          <w:lang w:val="en-ZA" w:eastAsia="en-GB"/>
        </w:rPr>
        <w:t>WHAT THE JUDGMENT MEANS FOR CONSUMERS</w:t>
      </w:r>
    </w:p>
    <w:p w14:paraId="0A5E8D41" w14:textId="77777777" w:rsidR="002E02B8" w:rsidRDefault="002E02B8" w:rsidP="00D94033">
      <w:pPr>
        <w:spacing w:line="360" w:lineRule="auto"/>
        <w:outlineLvl w:val="2"/>
        <w:rPr>
          <w:rFonts w:ascii="Arial" w:hAnsi="Arial" w:cs="Arial"/>
          <w:b/>
          <w:bCs/>
          <w:lang w:val="en-ZA" w:eastAsia="en-GB"/>
        </w:rPr>
      </w:pPr>
    </w:p>
    <w:p w14:paraId="128F305D" w14:textId="1E3E0467" w:rsidR="002E02B8" w:rsidRPr="002E02B8" w:rsidRDefault="002E02B8" w:rsidP="002E02B8">
      <w:pPr>
        <w:spacing w:after="160" w:line="360" w:lineRule="auto"/>
        <w:jc w:val="both"/>
        <w:rPr>
          <w:rFonts w:ascii="Arial" w:hAnsi="Arial" w:cs="Arial"/>
        </w:rPr>
      </w:pPr>
      <w:r w:rsidRPr="002E02B8">
        <w:rPr>
          <w:rFonts w:ascii="Arial" w:hAnsi="Arial" w:cs="Arial"/>
        </w:rPr>
        <w:t>The S</w:t>
      </w:r>
      <w:r w:rsidR="006A318D">
        <w:rPr>
          <w:rFonts w:ascii="Arial" w:hAnsi="Arial" w:cs="Arial"/>
        </w:rPr>
        <w:t>CA</w:t>
      </w:r>
      <w:r w:rsidRPr="002E02B8">
        <w:rPr>
          <w:rFonts w:ascii="Arial" w:hAnsi="Arial" w:cs="Arial"/>
        </w:rPr>
        <w:t xml:space="preserve"> empha</w:t>
      </w:r>
      <w:r w:rsidR="00735A72">
        <w:rPr>
          <w:rFonts w:ascii="Arial" w:hAnsi="Arial" w:cs="Arial"/>
        </w:rPr>
        <w:t>sizes</w:t>
      </w:r>
      <w:r w:rsidRPr="002E02B8">
        <w:rPr>
          <w:rFonts w:ascii="Arial" w:hAnsi="Arial" w:cs="Arial"/>
        </w:rPr>
        <w:t xml:space="preserve"> crucial factors which are of great importance to the consumers, one such emphasis is placed on ‘pawn broker’s entitlement to proceeds of sale of asset’.  </w:t>
      </w:r>
    </w:p>
    <w:p w14:paraId="1A3F17D6" w14:textId="295AC0FC" w:rsidR="002E02B8" w:rsidRPr="002E02B8" w:rsidRDefault="002E02B8" w:rsidP="002E02B8">
      <w:pPr>
        <w:spacing w:after="160" w:line="360" w:lineRule="auto"/>
        <w:jc w:val="both"/>
        <w:rPr>
          <w:rFonts w:ascii="Arial" w:hAnsi="Arial" w:cs="Arial"/>
        </w:rPr>
      </w:pPr>
      <w:r>
        <w:rPr>
          <w:rFonts w:ascii="Arial" w:hAnsi="Arial" w:cs="Arial"/>
        </w:rPr>
        <w:t xml:space="preserve">The </w:t>
      </w:r>
      <w:r w:rsidRPr="002E02B8">
        <w:rPr>
          <w:rFonts w:ascii="Arial" w:hAnsi="Arial" w:cs="Arial"/>
        </w:rPr>
        <w:t>SCA affirmed the</w:t>
      </w:r>
      <w:r w:rsidRPr="002E02B8">
        <w:rPr>
          <w:rFonts w:ascii="Arial" w:hAnsi="Arial" w:cs="Arial"/>
        </w:rPr>
        <w:t xml:space="preserve"> pawn broker</w:t>
      </w:r>
      <w:r w:rsidRPr="002E02B8">
        <w:rPr>
          <w:rFonts w:ascii="Arial" w:hAnsi="Arial" w:cs="Arial"/>
        </w:rPr>
        <w:t xml:space="preserve"> the</w:t>
      </w:r>
      <w:r w:rsidRPr="002E02B8">
        <w:rPr>
          <w:rFonts w:ascii="Arial" w:hAnsi="Arial" w:cs="Arial"/>
        </w:rPr>
        <w:t xml:space="preserve"> is not entitled to retain the </w:t>
      </w:r>
      <w:r w:rsidRPr="002E02B8">
        <w:rPr>
          <w:rFonts w:ascii="Arial" w:hAnsi="Arial" w:cs="Arial"/>
        </w:rPr>
        <w:t>more than the debt obligations and</w:t>
      </w:r>
      <w:r w:rsidRPr="002E02B8">
        <w:rPr>
          <w:rFonts w:ascii="Arial" w:hAnsi="Arial" w:cs="Arial"/>
        </w:rPr>
        <w:t xml:space="preserve"> must </w:t>
      </w:r>
      <w:r w:rsidRPr="002E02B8">
        <w:rPr>
          <w:rFonts w:ascii="Arial" w:hAnsi="Arial" w:cs="Arial"/>
        </w:rPr>
        <w:t>refund or repay the consumer the surplus of such sale.</w:t>
      </w:r>
    </w:p>
    <w:p w14:paraId="0DDCEBA0" w14:textId="77777777" w:rsidR="00D94033" w:rsidRPr="00D94033" w:rsidRDefault="00D94033" w:rsidP="00D94033">
      <w:pPr>
        <w:spacing w:line="360" w:lineRule="auto"/>
        <w:ind w:right="-330"/>
        <w:jc w:val="both"/>
        <w:rPr>
          <w:rFonts w:ascii="Arial" w:hAnsi="Arial" w:cs="Arial"/>
          <w:sz w:val="10"/>
          <w:szCs w:val="10"/>
          <w:lang w:val="en-ZA" w:eastAsia="en-GB"/>
        </w:rPr>
      </w:pPr>
    </w:p>
    <w:p w14:paraId="57555DAD" w14:textId="7F1A1966" w:rsidR="00D94033" w:rsidRPr="00D94033" w:rsidRDefault="002E02B8" w:rsidP="00D94033">
      <w:pPr>
        <w:spacing w:line="360" w:lineRule="auto"/>
        <w:ind w:right="-330"/>
        <w:jc w:val="both"/>
        <w:rPr>
          <w:rFonts w:ascii="Arial" w:hAnsi="Arial" w:cs="Arial"/>
          <w:lang w:val="en-ZA" w:eastAsia="en-GB"/>
        </w:rPr>
      </w:pPr>
      <w:r>
        <w:rPr>
          <w:rFonts w:ascii="Arial" w:hAnsi="Arial" w:cs="Arial"/>
          <w:lang w:val="en-ZA" w:eastAsia="en-GB"/>
        </w:rPr>
        <w:t>Further the</w:t>
      </w:r>
      <w:r w:rsidR="00D94033" w:rsidRPr="007838F0">
        <w:rPr>
          <w:rFonts w:ascii="Arial" w:hAnsi="Arial" w:cs="Arial"/>
          <w:lang w:val="en-ZA" w:eastAsia="en-GB"/>
        </w:rPr>
        <w:t xml:space="preserve"> SCA affirmed that credit agreements concluded by unregistered providers such as the Loan Company are unlawful and void, with far-reaching implications for consumers.</w:t>
      </w:r>
      <w:r w:rsidR="00D94033" w:rsidRPr="00D94033">
        <w:rPr>
          <w:rFonts w:ascii="Arial" w:hAnsi="Arial" w:cs="Arial"/>
          <w:lang w:val="en-ZA" w:eastAsia="en-GB"/>
        </w:rPr>
        <w:t xml:space="preserve">  Consequently, the judgement </w:t>
      </w:r>
      <w:r w:rsidR="00D94033" w:rsidRPr="007838F0">
        <w:rPr>
          <w:rFonts w:ascii="Arial" w:hAnsi="Arial" w:cs="Arial"/>
          <w:lang w:val="en-ZA" w:eastAsia="en-GB"/>
        </w:rPr>
        <w:t xml:space="preserve">strengthens consumer rights and reinforces the principles of fair </w:t>
      </w:r>
      <w:r w:rsidR="00D94033" w:rsidRPr="007838F0">
        <w:rPr>
          <w:rFonts w:ascii="Arial" w:hAnsi="Arial" w:cs="Arial"/>
          <w:lang w:val="en-ZA" w:eastAsia="en-GB"/>
        </w:rPr>
        <w:lastRenderedPageBreak/>
        <w:t>lending in South Africa</w:t>
      </w:r>
      <w:r w:rsidR="00D94033" w:rsidRPr="00D94033">
        <w:rPr>
          <w:rFonts w:ascii="Arial" w:hAnsi="Arial" w:cs="Arial"/>
          <w:lang w:val="en-ZA" w:eastAsia="en-GB"/>
        </w:rPr>
        <w:t xml:space="preserve"> and </w:t>
      </w:r>
      <w:r w:rsidR="00D94033" w:rsidRPr="007838F0">
        <w:rPr>
          <w:rFonts w:ascii="Arial" w:hAnsi="Arial" w:cs="Arial"/>
          <w:lang w:val="en-ZA" w:eastAsia="en-GB"/>
        </w:rPr>
        <w:t>reinforces the critical protections enshrined in the National Credit Act (NCA).</w:t>
      </w:r>
    </w:p>
    <w:p w14:paraId="14052698" w14:textId="77777777" w:rsidR="00D94033" w:rsidRPr="00D94033" w:rsidRDefault="00D94033" w:rsidP="00D94033">
      <w:pPr>
        <w:spacing w:line="360" w:lineRule="auto"/>
        <w:rPr>
          <w:rFonts w:ascii="Arial" w:hAnsi="Arial" w:cs="Arial"/>
          <w:lang w:val="en-ZA" w:eastAsia="en-GB"/>
        </w:rPr>
      </w:pPr>
      <w:r w:rsidRPr="00D94033">
        <w:rPr>
          <w:rFonts w:ascii="Arial" w:hAnsi="Arial" w:cs="Arial"/>
          <w:lang w:val="en-ZA" w:eastAsia="en-GB"/>
        </w:rPr>
        <w:t>The SCA’s decision sends a strong message and carries direct benefits for the public:</w:t>
      </w:r>
    </w:p>
    <w:p w14:paraId="24A6470C" w14:textId="77777777" w:rsidR="00D94033" w:rsidRDefault="00D94033" w:rsidP="00D94033">
      <w:pPr>
        <w:spacing w:line="360" w:lineRule="auto"/>
        <w:rPr>
          <w:rFonts w:cs="Arial"/>
          <w:sz w:val="10"/>
          <w:szCs w:val="10"/>
          <w:lang w:val="en-ZA" w:eastAsia="en-GB"/>
        </w:rPr>
      </w:pPr>
    </w:p>
    <w:p w14:paraId="40441472" w14:textId="77777777" w:rsidR="00D94033" w:rsidRPr="007838F0" w:rsidRDefault="00D94033" w:rsidP="00D94033">
      <w:pPr>
        <w:spacing w:line="360" w:lineRule="auto"/>
        <w:rPr>
          <w:rFonts w:cs="Arial"/>
          <w:sz w:val="10"/>
          <w:szCs w:val="10"/>
          <w:lang w:val="en-ZA" w:eastAsia="en-GB"/>
        </w:rPr>
      </w:pPr>
    </w:p>
    <w:p w14:paraId="1A00692F" w14:textId="77777777" w:rsidR="00D94033" w:rsidRPr="007838F0" w:rsidRDefault="00D94033" w:rsidP="00D94033">
      <w:pPr>
        <w:numPr>
          <w:ilvl w:val="0"/>
          <w:numId w:val="9"/>
        </w:numPr>
        <w:tabs>
          <w:tab w:val="clear" w:pos="720"/>
        </w:tabs>
        <w:spacing w:line="360" w:lineRule="auto"/>
        <w:ind w:left="426"/>
        <w:jc w:val="both"/>
        <w:rPr>
          <w:rFonts w:ascii="Arial" w:hAnsi="Arial" w:cs="Arial"/>
          <w:i/>
          <w:iCs/>
          <w:lang w:val="en-ZA" w:eastAsia="en-GB"/>
        </w:rPr>
      </w:pPr>
      <w:r w:rsidRPr="007838F0">
        <w:rPr>
          <w:rFonts w:ascii="Arial" w:hAnsi="Arial" w:cs="Arial"/>
          <w:b/>
          <w:bCs/>
          <w:i/>
          <w:iCs/>
          <w:lang w:val="en-ZA" w:eastAsia="en-GB"/>
        </w:rPr>
        <w:t>Unlawful and void agreements</w:t>
      </w:r>
      <w:r w:rsidRPr="007838F0">
        <w:rPr>
          <w:rFonts w:ascii="Arial" w:hAnsi="Arial" w:cs="Arial"/>
          <w:i/>
          <w:iCs/>
          <w:lang w:val="en-ZA" w:eastAsia="en-GB"/>
        </w:rPr>
        <w:t>: The SCA confirmed that credit agreements with unregistered providers are unenforceable in law, in accordance with sections 40(3) and 40(4) of the NCA.</w:t>
      </w:r>
    </w:p>
    <w:p w14:paraId="1CCFF10A" w14:textId="77777777" w:rsidR="00D94033" w:rsidRPr="007838F0" w:rsidRDefault="00D94033" w:rsidP="00D94033">
      <w:pPr>
        <w:numPr>
          <w:ilvl w:val="0"/>
          <w:numId w:val="9"/>
        </w:numPr>
        <w:tabs>
          <w:tab w:val="clear" w:pos="720"/>
        </w:tabs>
        <w:spacing w:line="360" w:lineRule="auto"/>
        <w:ind w:left="426"/>
        <w:jc w:val="both"/>
        <w:rPr>
          <w:rFonts w:ascii="Arial" w:hAnsi="Arial" w:cs="Arial"/>
          <w:i/>
          <w:iCs/>
          <w:lang w:val="en-ZA" w:eastAsia="en-GB"/>
        </w:rPr>
      </w:pPr>
      <w:r w:rsidRPr="007838F0">
        <w:rPr>
          <w:rFonts w:ascii="Arial" w:hAnsi="Arial" w:cs="Arial"/>
          <w:b/>
          <w:bCs/>
          <w:i/>
          <w:iCs/>
          <w:lang w:val="en-ZA" w:eastAsia="en-GB"/>
        </w:rPr>
        <w:t>No repayment obligation</w:t>
      </w:r>
      <w:r w:rsidRPr="007838F0">
        <w:rPr>
          <w:rFonts w:ascii="Arial" w:hAnsi="Arial" w:cs="Arial"/>
          <w:i/>
          <w:iCs/>
          <w:lang w:val="en-ZA" w:eastAsia="en-GB"/>
        </w:rPr>
        <w:t>: Consumers are not legally bound to repay outstanding debts under such void agreements.</w:t>
      </w:r>
    </w:p>
    <w:p w14:paraId="705ED29D" w14:textId="77777777" w:rsidR="00D94033" w:rsidRPr="007838F0" w:rsidRDefault="00D94033" w:rsidP="00D94033">
      <w:pPr>
        <w:numPr>
          <w:ilvl w:val="0"/>
          <w:numId w:val="9"/>
        </w:numPr>
        <w:tabs>
          <w:tab w:val="clear" w:pos="720"/>
        </w:tabs>
        <w:spacing w:line="360" w:lineRule="auto"/>
        <w:ind w:left="426"/>
        <w:jc w:val="both"/>
        <w:rPr>
          <w:rFonts w:ascii="Arial" w:hAnsi="Arial" w:cs="Arial"/>
          <w:i/>
          <w:iCs/>
          <w:lang w:val="en-ZA" w:eastAsia="en-GB"/>
        </w:rPr>
      </w:pPr>
      <w:r w:rsidRPr="007838F0">
        <w:rPr>
          <w:rFonts w:ascii="Arial" w:hAnsi="Arial" w:cs="Arial"/>
          <w:b/>
          <w:bCs/>
          <w:i/>
          <w:iCs/>
          <w:lang w:val="en-ZA" w:eastAsia="en-GB"/>
        </w:rPr>
        <w:t>Refund and interest obligations</w:t>
      </w:r>
      <w:r w:rsidRPr="007838F0">
        <w:rPr>
          <w:rFonts w:ascii="Arial" w:hAnsi="Arial" w:cs="Arial"/>
          <w:i/>
          <w:iCs/>
          <w:lang w:val="en-ZA" w:eastAsia="en-GB"/>
        </w:rPr>
        <w:t>: Unregistered providers must refund consumers all amounts paid, including interest.</w:t>
      </w:r>
    </w:p>
    <w:p w14:paraId="00C2C3E8" w14:textId="77777777" w:rsidR="00D94033" w:rsidRPr="007838F0" w:rsidRDefault="00D94033" w:rsidP="00D94033">
      <w:pPr>
        <w:numPr>
          <w:ilvl w:val="0"/>
          <w:numId w:val="9"/>
        </w:numPr>
        <w:tabs>
          <w:tab w:val="clear" w:pos="720"/>
        </w:tabs>
        <w:spacing w:line="360" w:lineRule="auto"/>
        <w:ind w:left="426"/>
        <w:jc w:val="both"/>
        <w:rPr>
          <w:rFonts w:ascii="Arial" w:hAnsi="Arial" w:cs="Arial"/>
          <w:i/>
          <w:iCs/>
          <w:lang w:val="en-ZA" w:eastAsia="en-GB"/>
        </w:rPr>
      </w:pPr>
      <w:r w:rsidRPr="007838F0">
        <w:rPr>
          <w:rFonts w:ascii="Arial" w:hAnsi="Arial" w:cs="Arial"/>
          <w:b/>
          <w:bCs/>
          <w:i/>
          <w:iCs/>
          <w:lang w:val="en-ZA" w:eastAsia="en-GB"/>
        </w:rPr>
        <w:t>Enhanced consumer protection</w:t>
      </w:r>
      <w:r w:rsidRPr="007838F0">
        <w:rPr>
          <w:rFonts w:ascii="Arial" w:hAnsi="Arial" w:cs="Arial"/>
          <w:i/>
          <w:iCs/>
          <w:lang w:val="en-ZA" w:eastAsia="en-GB"/>
        </w:rPr>
        <w:t>: The ruling upholds the NCA’s objective of protecting consumers from exploitative lending practices.</w:t>
      </w:r>
    </w:p>
    <w:p w14:paraId="4AE239ED" w14:textId="77777777" w:rsidR="00D94033" w:rsidRDefault="00D94033" w:rsidP="00D94033">
      <w:pPr>
        <w:numPr>
          <w:ilvl w:val="0"/>
          <w:numId w:val="9"/>
        </w:numPr>
        <w:tabs>
          <w:tab w:val="clear" w:pos="720"/>
        </w:tabs>
        <w:spacing w:line="360" w:lineRule="auto"/>
        <w:ind w:left="426"/>
        <w:jc w:val="both"/>
        <w:rPr>
          <w:rFonts w:ascii="Arial" w:hAnsi="Arial" w:cs="Arial"/>
          <w:i/>
          <w:iCs/>
          <w:lang w:val="en-ZA" w:eastAsia="en-GB"/>
        </w:rPr>
      </w:pPr>
      <w:r w:rsidRPr="007838F0">
        <w:rPr>
          <w:rFonts w:ascii="Arial" w:hAnsi="Arial" w:cs="Arial"/>
          <w:b/>
          <w:bCs/>
          <w:i/>
          <w:iCs/>
          <w:lang w:val="en-ZA" w:eastAsia="en-GB"/>
        </w:rPr>
        <w:t>Deterrent to unlawful practices</w:t>
      </w:r>
      <w:r w:rsidRPr="007838F0">
        <w:rPr>
          <w:rFonts w:ascii="Arial" w:hAnsi="Arial" w:cs="Arial"/>
          <w:i/>
          <w:iCs/>
          <w:lang w:val="en-ZA" w:eastAsia="en-GB"/>
        </w:rPr>
        <w:t>: The judgment sends a strong message to unregistered providers seeking to evade compliance with the law.</w:t>
      </w:r>
    </w:p>
    <w:p w14:paraId="2B9CB9E7" w14:textId="77777777" w:rsidR="009742FB" w:rsidRDefault="009742FB" w:rsidP="009742FB">
      <w:pPr>
        <w:spacing w:line="360" w:lineRule="auto"/>
        <w:jc w:val="both"/>
        <w:rPr>
          <w:rFonts w:ascii="Arial" w:hAnsi="Arial" w:cs="Arial"/>
          <w:b/>
          <w:bCs/>
          <w:i/>
          <w:iCs/>
          <w:lang w:val="en-ZA" w:eastAsia="en-GB"/>
        </w:rPr>
      </w:pPr>
    </w:p>
    <w:p w14:paraId="63D51E1A" w14:textId="1327B64C" w:rsidR="00D94033" w:rsidRPr="009742FB" w:rsidRDefault="009742FB" w:rsidP="009742FB">
      <w:pPr>
        <w:spacing w:after="160" w:line="360" w:lineRule="auto"/>
        <w:jc w:val="both"/>
        <w:rPr>
          <w:rFonts w:ascii="Arial" w:hAnsi="Arial" w:cs="Arial"/>
        </w:rPr>
      </w:pPr>
      <w:r w:rsidRPr="009742FB">
        <w:rPr>
          <w:rFonts w:ascii="Arial" w:hAnsi="Arial" w:cs="Arial"/>
        </w:rPr>
        <w:t xml:space="preserve">Lastly, the </w:t>
      </w:r>
      <w:r w:rsidR="006A318D">
        <w:rPr>
          <w:rFonts w:ascii="Arial" w:hAnsi="Arial" w:cs="Arial"/>
        </w:rPr>
        <w:t>SCA</w:t>
      </w:r>
      <w:r w:rsidRPr="009742FB">
        <w:rPr>
          <w:rFonts w:ascii="Arial" w:hAnsi="Arial" w:cs="Arial"/>
        </w:rPr>
        <w:t xml:space="preserve"> also chastised the Loan Company for deliberately withholding information relating to its financial position, </w:t>
      </w:r>
      <w:r w:rsidRPr="009742FB">
        <w:rPr>
          <w:rFonts w:ascii="Arial" w:hAnsi="Arial" w:cs="Arial"/>
        </w:rPr>
        <w:t>thereby</w:t>
      </w:r>
      <w:r w:rsidRPr="009742FB">
        <w:rPr>
          <w:rFonts w:ascii="Arial" w:hAnsi="Arial" w:cs="Arial"/>
        </w:rPr>
        <w:t xml:space="preserve"> making the task of the Tribunal ‘difficult or even impossible’. Credit Providers are urged to file their form 39 and form 40 statistical returns timeously, to avoid enforcement action and hefty fines from the Tribunal due to non-compliance.</w:t>
      </w:r>
    </w:p>
    <w:p w14:paraId="13222C3C" w14:textId="77777777" w:rsidR="00D94033" w:rsidRPr="007838F0" w:rsidRDefault="00D94033" w:rsidP="00D94033">
      <w:pPr>
        <w:spacing w:line="360" w:lineRule="auto"/>
        <w:rPr>
          <w:rFonts w:cs="Arial"/>
          <w:sz w:val="10"/>
          <w:szCs w:val="10"/>
          <w:lang w:val="en-ZA" w:eastAsia="en-GB"/>
        </w:rPr>
      </w:pPr>
    </w:p>
    <w:p w14:paraId="01F0AB0F" w14:textId="1E4ADB6B" w:rsidR="00D94033" w:rsidRPr="007838F0" w:rsidRDefault="00D94033" w:rsidP="00D94033">
      <w:pPr>
        <w:spacing w:line="360" w:lineRule="auto"/>
        <w:jc w:val="both"/>
        <w:rPr>
          <w:rFonts w:ascii="Arial" w:hAnsi="Arial" w:cs="Arial"/>
          <w:lang w:val="en-ZA" w:eastAsia="en-GB"/>
        </w:rPr>
      </w:pPr>
      <w:r>
        <w:rPr>
          <w:rFonts w:ascii="Arial" w:hAnsi="Arial" w:cs="Arial"/>
          <w:lang w:val="en-ZA" w:eastAsia="en-GB"/>
        </w:rPr>
        <w:t xml:space="preserve">Ms De Beers, </w:t>
      </w:r>
      <w:r w:rsidRPr="007838F0">
        <w:rPr>
          <w:rFonts w:ascii="Arial" w:hAnsi="Arial" w:cs="Arial"/>
          <w:lang w:val="en-ZA" w:eastAsia="en-GB"/>
        </w:rPr>
        <w:t xml:space="preserve">“This ruling confirms the NCA’s role as a </w:t>
      </w:r>
      <w:r w:rsidRPr="00D94033">
        <w:rPr>
          <w:rFonts w:ascii="Arial" w:hAnsi="Arial" w:cs="Arial"/>
          <w:lang w:val="en-ZA" w:eastAsia="en-GB"/>
        </w:rPr>
        <w:t>significant</w:t>
      </w:r>
      <w:r w:rsidRPr="007838F0">
        <w:rPr>
          <w:rFonts w:ascii="Arial" w:hAnsi="Arial" w:cs="Arial"/>
          <w:lang w:val="en-ZA" w:eastAsia="en-GB"/>
        </w:rPr>
        <w:t xml:space="preserve"> equaliser, designed to level the playing field in the consumer credit market</w:t>
      </w:r>
      <w:r w:rsidRPr="00D94033">
        <w:rPr>
          <w:rFonts w:ascii="Arial" w:hAnsi="Arial" w:cs="Arial"/>
          <w:lang w:val="en-ZA" w:eastAsia="en-GB"/>
        </w:rPr>
        <w:t xml:space="preserve">. We must make the point emphatically that the </w:t>
      </w:r>
      <w:r w:rsidRPr="007838F0">
        <w:rPr>
          <w:rFonts w:ascii="Arial" w:hAnsi="Arial" w:cs="Arial"/>
          <w:lang w:val="en-ZA" w:eastAsia="en-GB"/>
        </w:rPr>
        <w:t>exploitation of vulnerable and unsuspecting consumers by credit providers will not be tolerated.</w:t>
      </w:r>
      <w:r w:rsidRPr="00D94033">
        <w:rPr>
          <w:rFonts w:ascii="Arial" w:hAnsi="Arial" w:cs="Arial"/>
          <w:lang w:val="en-ZA" w:eastAsia="en-GB"/>
        </w:rPr>
        <w:t xml:space="preserve"> So we are excited about this ruling because it </w:t>
      </w:r>
      <w:r w:rsidRPr="007838F0">
        <w:rPr>
          <w:rFonts w:ascii="Arial" w:hAnsi="Arial" w:cs="Arial"/>
          <w:lang w:val="en-ZA" w:eastAsia="en-GB"/>
        </w:rPr>
        <w:t>reinforces the NCR’s commitment to enforcing compliance and holding non-compliant credit providers accountable.”</w:t>
      </w:r>
    </w:p>
    <w:p w14:paraId="08DF093D" w14:textId="77777777" w:rsidR="00D94033" w:rsidRDefault="00D94033" w:rsidP="00D94033">
      <w:pPr>
        <w:spacing w:line="360" w:lineRule="auto"/>
        <w:rPr>
          <w:rFonts w:cs="Arial"/>
          <w:sz w:val="10"/>
          <w:szCs w:val="10"/>
          <w:lang w:val="en-ZA" w:eastAsia="en-GB"/>
        </w:rPr>
      </w:pPr>
    </w:p>
    <w:p w14:paraId="3438DACE" w14:textId="77777777" w:rsidR="00D94033" w:rsidRPr="007838F0" w:rsidRDefault="00D94033" w:rsidP="00D94033">
      <w:pPr>
        <w:spacing w:line="360" w:lineRule="auto"/>
        <w:rPr>
          <w:rFonts w:cs="Arial"/>
          <w:sz w:val="10"/>
          <w:szCs w:val="10"/>
          <w:lang w:val="en-ZA" w:eastAsia="en-GB"/>
        </w:rPr>
      </w:pPr>
    </w:p>
    <w:p w14:paraId="5A4390EB" w14:textId="596FDFB2" w:rsidR="00D94033" w:rsidRPr="007838F0" w:rsidRDefault="00D94033" w:rsidP="00D94033">
      <w:pPr>
        <w:spacing w:line="360" w:lineRule="auto"/>
        <w:jc w:val="both"/>
        <w:rPr>
          <w:rFonts w:ascii="Arial" w:hAnsi="Arial" w:cs="Arial"/>
          <w:lang w:val="en-ZA" w:eastAsia="en-GB"/>
        </w:rPr>
      </w:pPr>
      <w:r w:rsidRPr="007838F0">
        <w:rPr>
          <w:rFonts w:ascii="Arial" w:hAnsi="Arial" w:cs="Arial"/>
          <w:lang w:val="en-ZA" w:eastAsia="en-GB"/>
        </w:rPr>
        <w:t>This landmark judgment marks a new chapter in strengthening consumer protection and reaffirms the NCR’s mandate to uphold the integrity of South Africa’s credit market.</w:t>
      </w:r>
      <w:r>
        <w:rPr>
          <w:rFonts w:ascii="Arial" w:hAnsi="Arial" w:cs="Arial"/>
          <w:lang w:val="en-ZA" w:eastAsia="en-GB"/>
        </w:rPr>
        <w:t xml:space="preserve"> So, i</w:t>
      </w:r>
      <w:r w:rsidRPr="00D94033">
        <w:rPr>
          <w:rFonts w:ascii="Arial" w:hAnsi="Arial" w:cs="Arial"/>
          <w:lang w:val="en-ZA" w:eastAsia="en-GB"/>
        </w:rPr>
        <w:t>n the first instance, c</w:t>
      </w:r>
      <w:r w:rsidRPr="007838F0">
        <w:rPr>
          <w:rFonts w:ascii="Arial" w:hAnsi="Arial" w:cs="Arial"/>
          <w:lang w:val="en-ZA" w:eastAsia="en-GB"/>
        </w:rPr>
        <w:t xml:space="preserve">onsumers who believe their rights have been violated are encouraged to lodge complaints with the NCR at </w:t>
      </w:r>
      <w:r w:rsidRPr="007838F0">
        <w:rPr>
          <w:rFonts w:ascii="Arial" w:hAnsi="Arial" w:cs="Arial"/>
          <w:b/>
          <w:bCs/>
          <w:lang w:val="en-ZA" w:eastAsia="en-GB"/>
        </w:rPr>
        <w:t>complaints@ncr.org.za</w:t>
      </w:r>
      <w:r w:rsidRPr="007838F0">
        <w:rPr>
          <w:rFonts w:ascii="Arial" w:hAnsi="Arial" w:cs="Arial"/>
          <w:lang w:val="en-ZA" w:eastAsia="en-GB"/>
        </w:rPr>
        <w:t>. A full list of registered credit providers is available on the NCR’s website at</w:t>
      </w:r>
      <w:r w:rsidRPr="00D94033">
        <w:rPr>
          <w:rFonts w:ascii="Arial" w:hAnsi="Arial" w:cs="Arial"/>
          <w:lang w:val="en-ZA" w:eastAsia="en-GB"/>
        </w:rPr>
        <w:t xml:space="preserve"> </w:t>
      </w:r>
      <w:hyperlink r:id="rId10" w:history="1">
        <w:r w:rsidRPr="007838F0">
          <w:rPr>
            <w:rStyle w:val="Hyperlink"/>
            <w:rFonts w:ascii="Arial" w:hAnsi="Arial" w:cs="Arial"/>
            <w:sz w:val="18"/>
            <w:szCs w:val="18"/>
            <w:lang w:val="en-ZA" w:eastAsia="en-GB"/>
          </w:rPr>
          <w:t>https://www.ncr.org.za/register_of_registrants/index.html</w:t>
        </w:r>
      </w:hyperlink>
      <w:r w:rsidRPr="007838F0">
        <w:rPr>
          <w:rFonts w:ascii="Arial" w:hAnsi="Arial" w:cs="Arial"/>
          <w:sz w:val="18"/>
          <w:szCs w:val="18"/>
          <w:lang w:val="en-ZA" w:eastAsia="en-GB"/>
        </w:rPr>
        <w:t>.</w:t>
      </w:r>
    </w:p>
    <w:p w14:paraId="6D1B603C" w14:textId="77777777" w:rsidR="00D94033" w:rsidRDefault="00D94033" w:rsidP="00D94033">
      <w:pPr>
        <w:spacing w:line="360" w:lineRule="auto"/>
        <w:rPr>
          <w:rFonts w:cs="Arial"/>
          <w:b/>
          <w:bCs/>
          <w:lang w:val="en-ZA" w:eastAsia="en-GB"/>
        </w:rPr>
      </w:pPr>
    </w:p>
    <w:p w14:paraId="4E47C7F8" w14:textId="6597F15D" w:rsidR="00D94033" w:rsidRPr="007838F0" w:rsidRDefault="00D94033" w:rsidP="00D94033">
      <w:pPr>
        <w:spacing w:line="360" w:lineRule="auto"/>
        <w:jc w:val="both"/>
        <w:rPr>
          <w:rFonts w:ascii="Arial" w:hAnsi="Arial" w:cs="Arial"/>
          <w:lang w:val="en-ZA" w:eastAsia="en-GB"/>
        </w:rPr>
      </w:pPr>
      <w:r w:rsidRPr="007838F0">
        <w:rPr>
          <w:rFonts w:ascii="Arial" w:hAnsi="Arial" w:cs="Arial"/>
          <w:lang w:val="en-ZA" w:eastAsia="en-GB"/>
        </w:rPr>
        <w:lastRenderedPageBreak/>
        <w:t xml:space="preserve">Ms De Beer </w:t>
      </w:r>
      <w:r w:rsidRPr="00D94033">
        <w:rPr>
          <w:rFonts w:ascii="Arial" w:hAnsi="Arial" w:cs="Arial"/>
          <w:lang w:val="en-ZA" w:eastAsia="en-GB"/>
        </w:rPr>
        <w:t>concludes</w:t>
      </w:r>
      <w:r w:rsidRPr="007838F0">
        <w:rPr>
          <w:rFonts w:ascii="Arial" w:hAnsi="Arial" w:cs="Arial"/>
          <w:lang w:val="en-ZA" w:eastAsia="en-GB"/>
        </w:rPr>
        <w:t xml:space="preserve"> that the NCR will continue to investigate and take legal action against non-compliant credit providers. “We are committed to holding all credit providers accountable, whether they operate in urban centres or </w:t>
      </w:r>
      <w:r>
        <w:rPr>
          <w:rFonts w:ascii="Arial" w:hAnsi="Arial" w:cs="Arial"/>
          <w:lang w:val="en-ZA" w:eastAsia="en-GB"/>
        </w:rPr>
        <w:t xml:space="preserve">in </w:t>
      </w:r>
      <w:r w:rsidRPr="007838F0">
        <w:rPr>
          <w:rFonts w:ascii="Arial" w:hAnsi="Arial" w:cs="Arial"/>
          <w:lang w:val="en-ZA" w:eastAsia="en-GB"/>
        </w:rPr>
        <w:t xml:space="preserve">remote areas. The law applies equally,” she </w:t>
      </w:r>
      <w:r w:rsidRPr="00D94033">
        <w:rPr>
          <w:rFonts w:ascii="Arial" w:hAnsi="Arial" w:cs="Arial"/>
          <w:lang w:val="en-ZA" w:eastAsia="en-GB"/>
        </w:rPr>
        <w:t>warned</w:t>
      </w:r>
      <w:r w:rsidRPr="007838F0">
        <w:rPr>
          <w:rFonts w:ascii="Arial" w:hAnsi="Arial" w:cs="Arial"/>
          <w:lang w:val="en-ZA" w:eastAsia="en-GB"/>
        </w:rPr>
        <w:t>.</w:t>
      </w:r>
    </w:p>
    <w:p w14:paraId="32CF5DC5" w14:textId="77777777" w:rsidR="00D94033" w:rsidRPr="007838F0" w:rsidRDefault="00D94033" w:rsidP="00D94033">
      <w:pPr>
        <w:spacing w:line="360" w:lineRule="auto"/>
        <w:rPr>
          <w:rFonts w:cs="Arial"/>
          <w:b/>
          <w:bCs/>
          <w:sz w:val="10"/>
          <w:szCs w:val="10"/>
          <w:lang w:val="en-ZA" w:eastAsia="en-GB"/>
        </w:rPr>
      </w:pPr>
    </w:p>
    <w:p w14:paraId="2FE5AB7E" w14:textId="77777777" w:rsidR="00D246DB" w:rsidRPr="000436DA" w:rsidRDefault="00D246DB" w:rsidP="008B78CF">
      <w:pPr>
        <w:spacing w:line="360" w:lineRule="auto"/>
        <w:jc w:val="both"/>
        <w:outlineLvl w:val="0"/>
        <w:rPr>
          <w:rFonts w:ascii="Arial" w:hAnsi="Arial" w:cs="Arial"/>
          <w:sz w:val="22"/>
          <w:szCs w:val="22"/>
          <w:lang w:val="en-ZA"/>
        </w:rPr>
      </w:pPr>
    </w:p>
    <w:p w14:paraId="1BA158DE" w14:textId="77777777" w:rsidR="008B78CF" w:rsidRDefault="008B78CF" w:rsidP="008B78CF">
      <w:pPr>
        <w:pStyle w:val="NoSpacing"/>
        <w:jc w:val="both"/>
        <w:rPr>
          <w:rFonts w:ascii="Arial" w:hAnsi="Arial" w:cs="Arial"/>
          <w:b/>
          <w:bCs/>
          <w:sz w:val="24"/>
          <w:szCs w:val="24"/>
        </w:rPr>
      </w:pPr>
      <w:r w:rsidRPr="00785EC2">
        <w:rPr>
          <w:rFonts w:ascii="Arial" w:hAnsi="Arial" w:cs="Arial"/>
          <w:b/>
          <w:bCs/>
          <w:sz w:val="24"/>
          <w:szCs w:val="24"/>
        </w:rPr>
        <w:t>ENDS</w:t>
      </w:r>
    </w:p>
    <w:p w14:paraId="3F5E1F91" w14:textId="77777777" w:rsidR="00D94033" w:rsidRDefault="00D94033" w:rsidP="008B78CF">
      <w:pPr>
        <w:pStyle w:val="NoSpacing"/>
        <w:jc w:val="both"/>
        <w:rPr>
          <w:rFonts w:ascii="Arial" w:hAnsi="Arial" w:cs="Arial"/>
          <w:b/>
          <w:bCs/>
          <w:sz w:val="24"/>
          <w:szCs w:val="24"/>
        </w:rPr>
      </w:pPr>
    </w:p>
    <w:p w14:paraId="08B3ECCB" w14:textId="798FCEEE" w:rsidR="00D94033" w:rsidRPr="00785EC2" w:rsidRDefault="00000000" w:rsidP="008B78CF">
      <w:pPr>
        <w:pStyle w:val="NoSpacing"/>
        <w:jc w:val="both"/>
        <w:rPr>
          <w:rFonts w:ascii="Arial" w:hAnsi="Arial" w:cs="Arial"/>
          <w:b/>
          <w:bCs/>
          <w:sz w:val="24"/>
          <w:szCs w:val="24"/>
        </w:rPr>
      </w:pPr>
      <w:r>
        <w:rPr>
          <w:rFonts w:ascii="Arial" w:hAnsi="Arial" w:cs="Arial"/>
          <w:b/>
          <w:bCs/>
          <w:noProof/>
          <w:sz w:val="24"/>
          <w:szCs w:val="24"/>
          <w14:ligatures w14:val="standardContextual"/>
        </w:rPr>
        <w:pict w14:anchorId="1D028097">
          <v:rect id="_x0000_i1027" alt="" style="width:451.3pt;height:.05pt;mso-width-percent:0;mso-height-percent:0;mso-width-percent:0;mso-height-percent:0" o:hralign="center" o:hrstd="t" o:hr="t" fillcolor="#a0a0a0" stroked="f"/>
        </w:pict>
      </w:r>
    </w:p>
    <w:p w14:paraId="17DAEE1B" w14:textId="77777777" w:rsidR="008B78CF" w:rsidRPr="00785EC2" w:rsidRDefault="008B78CF" w:rsidP="008B78CF">
      <w:pPr>
        <w:pStyle w:val="NoSpacing"/>
        <w:jc w:val="both"/>
        <w:rPr>
          <w:b/>
          <w:bCs/>
          <w:sz w:val="8"/>
          <w:szCs w:val="8"/>
        </w:rPr>
      </w:pPr>
    </w:p>
    <w:p w14:paraId="44ED30CA" w14:textId="5ED8F8B1" w:rsidR="008B78CF" w:rsidRPr="00785EC2" w:rsidRDefault="00D94033" w:rsidP="008B78CF">
      <w:pPr>
        <w:pStyle w:val="NoSpacing"/>
        <w:jc w:val="both"/>
        <w:rPr>
          <w:rFonts w:ascii="Arial" w:hAnsi="Arial" w:cs="Arial"/>
          <w:b/>
          <w:bCs/>
          <w:sz w:val="24"/>
          <w:szCs w:val="24"/>
        </w:rPr>
      </w:pPr>
      <w:r w:rsidRPr="00785EC2">
        <w:rPr>
          <w:rFonts w:ascii="Arial" w:hAnsi="Arial" w:cs="Arial"/>
          <w:b/>
          <w:bCs/>
          <w:sz w:val="24"/>
          <w:szCs w:val="24"/>
        </w:rPr>
        <w:t xml:space="preserve">ISSUED BY: </w:t>
      </w:r>
      <w:r>
        <w:rPr>
          <w:rFonts w:ascii="Arial" w:hAnsi="Arial" w:cs="Arial"/>
          <w:b/>
          <w:bCs/>
          <w:sz w:val="24"/>
          <w:szCs w:val="24"/>
        </w:rPr>
        <w:tab/>
      </w:r>
      <w:r w:rsidRPr="00785EC2">
        <w:rPr>
          <w:rFonts w:ascii="Arial" w:hAnsi="Arial" w:cs="Arial"/>
          <w:b/>
          <w:bCs/>
          <w:sz w:val="24"/>
          <w:szCs w:val="24"/>
        </w:rPr>
        <w:t xml:space="preserve">NCR - CORPORATE COMMUNICATIONS </w:t>
      </w:r>
    </w:p>
    <w:p w14:paraId="5A758AF3" w14:textId="77777777" w:rsidR="008B78CF" w:rsidRPr="00785EC2" w:rsidRDefault="00000000" w:rsidP="008B78CF">
      <w:pPr>
        <w:pStyle w:val="NormalWeb"/>
        <w:spacing w:before="0" w:beforeAutospacing="0" w:after="0" w:afterAutospacing="0"/>
        <w:jc w:val="both"/>
        <w:rPr>
          <w:rFonts w:ascii="Arial" w:hAnsi="Arial" w:cs="Arial"/>
        </w:rPr>
      </w:pPr>
      <w:r>
        <w:rPr>
          <w:rFonts w:ascii="Arial" w:hAnsi="Arial" w:cs="Arial"/>
          <w:noProof/>
          <w14:ligatures w14:val="standardContextual"/>
        </w:rPr>
        <w:pict w14:anchorId="2653AEBF">
          <v:rect id="_x0000_i1028" alt="" style="width:451.3pt;height:.05pt;mso-width-percent:0;mso-height-percent:0;mso-width-percent:0;mso-height-percent:0" o:hralign="center" o:hrstd="t" o:hr="t" fillcolor="#a0a0a0" stroked="f"/>
        </w:pict>
      </w:r>
    </w:p>
    <w:p w14:paraId="6A6076C0" w14:textId="77777777" w:rsidR="008B78CF" w:rsidRPr="006A028D" w:rsidRDefault="008B78CF" w:rsidP="008B78CF">
      <w:pPr>
        <w:pStyle w:val="NormalWeb"/>
        <w:spacing w:before="0" w:beforeAutospacing="0" w:after="0" w:afterAutospacing="0" w:line="360" w:lineRule="auto"/>
        <w:jc w:val="both"/>
        <w:rPr>
          <w:rFonts w:ascii="Arial" w:hAnsi="Arial" w:cs="Arial"/>
          <w:b/>
          <w:bCs/>
        </w:rPr>
      </w:pPr>
      <w:r w:rsidRPr="006A028D">
        <w:rPr>
          <w:rFonts w:ascii="Arial" w:hAnsi="Arial" w:cs="Arial"/>
          <w:b/>
          <w:bCs/>
        </w:rPr>
        <w:t>For media inquiries, please contact:</w:t>
      </w:r>
    </w:p>
    <w:p w14:paraId="11B881DD" w14:textId="44C9846E" w:rsidR="008B78CF" w:rsidRDefault="008B78CF" w:rsidP="008B78CF">
      <w:pPr>
        <w:rPr>
          <w:rFonts w:ascii="Arial" w:hAnsi="Arial" w:cs="Arial"/>
          <w:color w:val="000000"/>
        </w:rPr>
      </w:pPr>
      <w:r w:rsidRPr="006A028D">
        <w:rPr>
          <w:rFonts w:ascii="Arial" w:hAnsi="Arial" w:cs="Arial"/>
          <w:color w:val="000000"/>
        </w:rPr>
        <w:t>Winnie Rabathata</w:t>
      </w:r>
    </w:p>
    <w:p w14:paraId="11AE4B36" w14:textId="68F370AE" w:rsidR="00D94033" w:rsidRPr="006A028D" w:rsidRDefault="00D94033" w:rsidP="008B78CF">
      <w:pPr>
        <w:rPr>
          <w:rFonts w:ascii="Aptos" w:hAnsi="Aptos"/>
          <w:color w:val="000000"/>
          <w:lang w:val="en-ZA" w:eastAsia="en-GB"/>
        </w:rPr>
      </w:pPr>
      <w:r>
        <w:rPr>
          <w:rFonts w:ascii="Arial" w:hAnsi="Arial" w:cs="Arial"/>
          <w:color w:val="000000"/>
        </w:rPr>
        <w:t>Acting Senior Media Officer</w:t>
      </w:r>
    </w:p>
    <w:p w14:paraId="6E5AB427" w14:textId="77777777" w:rsidR="008B78CF" w:rsidRPr="006A028D" w:rsidRDefault="008B78CF" w:rsidP="008B78CF">
      <w:pPr>
        <w:rPr>
          <w:rFonts w:ascii="Aptos" w:hAnsi="Aptos"/>
          <w:color w:val="000000"/>
        </w:rPr>
      </w:pPr>
      <w:r w:rsidRPr="006A028D">
        <w:rPr>
          <w:rFonts w:ascii="Arial" w:hAnsi="Arial" w:cs="Arial"/>
          <w:color w:val="000000"/>
        </w:rPr>
        <w:t>National Credit Regulator (NCR)</w:t>
      </w:r>
    </w:p>
    <w:p w14:paraId="28BE3734" w14:textId="77777777" w:rsidR="008B78CF" w:rsidRPr="006A028D" w:rsidRDefault="008B78CF" w:rsidP="008B78CF">
      <w:pPr>
        <w:rPr>
          <w:rFonts w:ascii="Arial" w:hAnsi="Arial" w:cs="Arial"/>
          <w:color w:val="0000FF"/>
        </w:rPr>
      </w:pPr>
      <w:r w:rsidRPr="006A028D">
        <w:rPr>
          <w:rFonts w:ascii="Arial" w:hAnsi="Arial" w:cs="Arial"/>
          <w:b/>
          <w:bCs/>
          <w:color w:val="000000"/>
        </w:rPr>
        <w:t>Tel:</w:t>
      </w:r>
      <w:r w:rsidRPr="006A028D">
        <w:rPr>
          <w:rFonts w:ascii="Arial" w:hAnsi="Arial" w:cs="Arial"/>
          <w:color w:val="000000"/>
        </w:rPr>
        <w:t> (011) 554 2600  |</w:t>
      </w:r>
      <w:r w:rsidRPr="006A028D">
        <w:rPr>
          <w:rStyle w:val="apple-converted-space"/>
          <w:rFonts w:ascii="Arial" w:hAnsi="Arial" w:cs="Arial"/>
          <w:color w:val="000000"/>
        </w:rPr>
        <w:t> </w:t>
      </w:r>
      <w:r w:rsidRPr="006A028D">
        <w:rPr>
          <w:rFonts w:ascii="Arial" w:hAnsi="Arial" w:cs="Arial"/>
          <w:b/>
          <w:bCs/>
          <w:color w:val="000000"/>
        </w:rPr>
        <w:t>Cellphone:</w:t>
      </w:r>
      <w:r w:rsidRPr="006A028D">
        <w:rPr>
          <w:rFonts w:ascii="Arial" w:hAnsi="Arial" w:cs="Arial"/>
          <w:color w:val="000000"/>
        </w:rPr>
        <w:t> 064 752 3923</w:t>
      </w:r>
      <w:r w:rsidRPr="006A028D">
        <w:rPr>
          <w:rFonts w:ascii="Arial" w:hAnsi="Arial" w:cs="Arial"/>
          <w:color w:val="666666"/>
        </w:rPr>
        <w:t xml:space="preserve"> </w:t>
      </w:r>
      <w:r w:rsidRPr="006A028D">
        <w:rPr>
          <w:rFonts w:ascii="Arial" w:hAnsi="Arial" w:cs="Arial"/>
          <w:b/>
          <w:bCs/>
          <w:color w:val="7F7F7F"/>
        </w:rPr>
        <w:t>Email:</w:t>
      </w:r>
      <w:r w:rsidRPr="006A028D">
        <w:rPr>
          <w:rStyle w:val="apple-converted-space"/>
          <w:rFonts w:ascii="Arial" w:hAnsi="Arial" w:cs="Arial"/>
          <w:b/>
          <w:bCs/>
          <w:color w:val="7F7F7F"/>
        </w:rPr>
        <w:t> </w:t>
      </w:r>
      <w:hyperlink r:id="rId11" w:history="1">
        <w:r w:rsidRPr="006A028D">
          <w:rPr>
            <w:rStyle w:val="Hyperlink"/>
            <w:rFonts w:ascii="Arial" w:eastAsiaTheme="majorEastAsia" w:hAnsi="Arial" w:cs="Arial"/>
          </w:rPr>
          <w:t>wrabathata@ncr.org.za</w:t>
        </w:r>
      </w:hyperlink>
      <w:r w:rsidRPr="006A028D">
        <w:rPr>
          <w:rStyle w:val="apple-converted-space"/>
          <w:rFonts w:ascii="Arial" w:hAnsi="Arial" w:cs="Arial"/>
          <w:b/>
          <w:bCs/>
          <w:color w:val="7F7F7F"/>
        </w:rPr>
        <w:t xml:space="preserve"> </w:t>
      </w:r>
      <w:r w:rsidRPr="006A028D">
        <w:rPr>
          <w:rFonts w:ascii="Arial" w:hAnsi="Arial" w:cs="Arial"/>
          <w:b/>
          <w:bCs/>
          <w:color w:val="666666"/>
        </w:rPr>
        <w:t>Web:</w:t>
      </w:r>
      <w:r w:rsidRPr="006A028D">
        <w:rPr>
          <w:rStyle w:val="apple-converted-space"/>
          <w:rFonts w:ascii="Arial" w:hAnsi="Arial" w:cs="Arial"/>
          <w:color w:val="666666"/>
        </w:rPr>
        <w:t> </w:t>
      </w:r>
      <w:hyperlink r:id="rId12" w:history="1">
        <w:r w:rsidRPr="006A028D">
          <w:rPr>
            <w:rStyle w:val="Hyperlink"/>
            <w:rFonts w:ascii="Arial" w:eastAsiaTheme="majorEastAsia" w:hAnsi="Arial" w:cs="Arial"/>
          </w:rPr>
          <w:t> www.ncr.org.za</w:t>
        </w:r>
      </w:hyperlink>
    </w:p>
    <w:p w14:paraId="24588342" w14:textId="77777777" w:rsidR="008B78CF" w:rsidRPr="006A028D" w:rsidRDefault="008B78CF" w:rsidP="008B78CF">
      <w:pPr>
        <w:rPr>
          <w:rFonts w:ascii="Arial" w:hAnsi="Arial" w:cs="Arial"/>
          <w:b/>
          <w:bCs/>
          <w:color w:val="7F7F7F"/>
        </w:rPr>
      </w:pPr>
    </w:p>
    <w:p w14:paraId="72B04BBF" w14:textId="77777777" w:rsidR="008B78CF" w:rsidRPr="006A028D" w:rsidRDefault="008B78CF" w:rsidP="008B78CF">
      <w:pPr>
        <w:rPr>
          <w:rFonts w:ascii="Aptos" w:hAnsi="Aptos"/>
          <w:color w:val="000000"/>
          <w:lang w:val="en-ZA" w:eastAsia="en-GB"/>
        </w:rPr>
      </w:pPr>
      <w:r w:rsidRPr="006A028D">
        <w:rPr>
          <w:rFonts w:ascii="Arial" w:hAnsi="Arial" w:cs="Arial"/>
          <w:color w:val="000000"/>
        </w:rPr>
        <w:t>Simphiwe Mthembu</w:t>
      </w:r>
    </w:p>
    <w:p w14:paraId="7056D73E" w14:textId="77777777" w:rsidR="008B78CF" w:rsidRPr="006A028D" w:rsidRDefault="008B78CF" w:rsidP="008B78CF">
      <w:pPr>
        <w:rPr>
          <w:rFonts w:ascii="Aptos" w:hAnsi="Aptos"/>
          <w:color w:val="000000"/>
        </w:rPr>
      </w:pPr>
      <w:r w:rsidRPr="006A028D">
        <w:rPr>
          <w:rFonts w:ascii="Arial" w:hAnsi="Arial" w:cs="Arial"/>
          <w:color w:val="000000"/>
        </w:rPr>
        <w:t>Head of Media Relations</w:t>
      </w:r>
    </w:p>
    <w:p w14:paraId="4E8C6547" w14:textId="77777777" w:rsidR="008B78CF" w:rsidRPr="006A028D" w:rsidRDefault="008B78CF" w:rsidP="008B78CF">
      <w:pPr>
        <w:rPr>
          <w:rFonts w:ascii="Aptos" w:hAnsi="Aptos"/>
          <w:color w:val="000000"/>
        </w:rPr>
      </w:pPr>
      <w:r w:rsidRPr="006A028D">
        <w:rPr>
          <w:rFonts w:ascii="Arial" w:hAnsi="Arial" w:cs="Arial"/>
          <w:color w:val="000000"/>
        </w:rPr>
        <w:t>National Credit Regulator (NCR)</w:t>
      </w:r>
    </w:p>
    <w:p w14:paraId="7B162317" w14:textId="77777777" w:rsidR="008B78CF" w:rsidRPr="006A028D" w:rsidRDefault="008B78CF" w:rsidP="008B78CF">
      <w:pPr>
        <w:rPr>
          <w:rFonts w:ascii="Arial" w:hAnsi="Arial" w:cs="Arial"/>
          <w:b/>
          <w:bCs/>
          <w:color w:val="000000"/>
        </w:rPr>
      </w:pPr>
      <w:r w:rsidRPr="006A028D">
        <w:rPr>
          <w:rFonts w:ascii="Arial" w:hAnsi="Arial" w:cs="Arial"/>
          <w:b/>
          <w:bCs/>
          <w:color w:val="000000"/>
        </w:rPr>
        <w:t>Tel:</w:t>
      </w:r>
      <w:r w:rsidRPr="006A028D">
        <w:rPr>
          <w:rFonts w:ascii="Arial" w:hAnsi="Arial" w:cs="Arial"/>
          <w:color w:val="000000"/>
        </w:rPr>
        <w:t> (011) 554 2600  |</w:t>
      </w:r>
      <w:r w:rsidRPr="006A028D">
        <w:rPr>
          <w:rStyle w:val="apple-converted-space"/>
          <w:rFonts w:ascii="Arial" w:hAnsi="Arial" w:cs="Arial"/>
          <w:color w:val="000000"/>
        </w:rPr>
        <w:t> </w:t>
      </w:r>
      <w:r w:rsidRPr="006A028D">
        <w:rPr>
          <w:rFonts w:ascii="Arial" w:hAnsi="Arial" w:cs="Arial"/>
          <w:b/>
          <w:bCs/>
          <w:color w:val="000000"/>
        </w:rPr>
        <w:t>Cellphone:</w:t>
      </w:r>
      <w:r w:rsidRPr="006A028D">
        <w:rPr>
          <w:rFonts w:ascii="Arial" w:hAnsi="Arial" w:cs="Arial"/>
          <w:color w:val="000000"/>
        </w:rPr>
        <w:t> 072 634 1077</w:t>
      </w:r>
      <w:r w:rsidRPr="006A028D">
        <w:rPr>
          <w:rFonts w:ascii="Arial" w:hAnsi="Arial" w:cs="Arial"/>
          <w:color w:val="666666"/>
        </w:rPr>
        <w:t xml:space="preserve"> </w:t>
      </w:r>
      <w:r w:rsidRPr="006A028D">
        <w:rPr>
          <w:rFonts w:ascii="Arial" w:hAnsi="Arial" w:cs="Arial"/>
          <w:b/>
          <w:bCs/>
          <w:color w:val="7F7F7F"/>
        </w:rPr>
        <w:t>Email:</w:t>
      </w:r>
      <w:r w:rsidRPr="006A028D">
        <w:rPr>
          <w:rStyle w:val="apple-converted-space"/>
          <w:rFonts w:ascii="Arial" w:hAnsi="Arial" w:cs="Arial"/>
          <w:b/>
          <w:bCs/>
          <w:color w:val="7F7F7F"/>
        </w:rPr>
        <w:t> </w:t>
      </w:r>
      <w:hyperlink r:id="rId13" w:history="1">
        <w:r w:rsidRPr="006A028D">
          <w:rPr>
            <w:rStyle w:val="Hyperlink"/>
            <w:rFonts w:ascii="Arial" w:eastAsiaTheme="majorEastAsia" w:hAnsi="Arial" w:cs="Arial"/>
          </w:rPr>
          <w:t>tmthembu@ncr.org.za</w:t>
        </w:r>
      </w:hyperlink>
      <w:r w:rsidRPr="006A028D">
        <w:rPr>
          <w:rStyle w:val="apple-converted-space"/>
          <w:rFonts w:ascii="Arial" w:hAnsi="Arial" w:cs="Arial"/>
          <w:color w:val="7F7F7F"/>
        </w:rPr>
        <w:t xml:space="preserve"> </w:t>
      </w:r>
    </w:p>
    <w:p w14:paraId="1B4D2271" w14:textId="77777777" w:rsidR="008B78CF" w:rsidRPr="006A028D" w:rsidRDefault="008B78CF" w:rsidP="008B78CF">
      <w:pPr>
        <w:rPr>
          <w:rFonts w:ascii="Aptos" w:hAnsi="Aptos"/>
          <w:color w:val="212121"/>
        </w:rPr>
      </w:pPr>
      <w:r w:rsidRPr="006A028D">
        <w:rPr>
          <w:rFonts w:ascii="Arial" w:hAnsi="Arial" w:cs="Arial"/>
          <w:b/>
          <w:bCs/>
          <w:color w:val="666666"/>
        </w:rPr>
        <w:t>Web:</w:t>
      </w:r>
      <w:r w:rsidRPr="006A028D">
        <w:rPr>
          <w:rStyle w:val="apple-converted-space"/>
          <w:rFonts w:ascii="Arial" w:hAnsi="Arial" w:cs="Arial"/>
          <w:color w:val="666666"/>
        </w:rPr>
        <w:t> </w:t>
      </w:r>
      <w:hyperlink r:id="rId14" w:tooltip="Original URL:&#10;http://www.ncr.org.za/&#10;&#10;Click to follow link." w:history="1">
        <w:r w:rsidRPr="006A028D">
          <w:rPr>
            <w:rStyle w:val="Hyperlink"/>
            <w:rFonts w:ascii="Arial" w:eastAsiaTheme="majorEastAsia" w:hAnsi="Arial" w:cs="Arial"/>
            <w:color w:val="0563C1"/>
          </w:rPr>
          <w:t> www.ncr.org.za</w:t>
        </w:r>
      </w:hyperlink>
      <w:r w:rsidRPr="006A028D">
        <w:rPr>
          <w:rFonts w:ascii="Arial" w:hAnsi="Arial" w:cs="Arial"/>
          <w:color w:val="0000FF"/>
        </w:rPr>
        <w:t xml:space="preserve"> </w:t>
      </w:r>
    </w:p>
    <w:p w14:paraId="792F10E7" w14:textId="77777777" w:rsidR="008B78CF" w:rsidRDefault="00000000" w:rsidP="008B78CF">
      <w:pPr>
        <w:pStyle w:val="NormalWeb"/>
        <w:spacing w:before="0" w:beforeAutospacing="0" w:after="0" w:afterAutospacing="0"/>
        <w:jc w:val="both"/>
        <w:rPr>
          <w:rStyle w:val="Strong"/>
          <w:rFonts w:ascii="Arial" w:hAnsi="Arial" w:cs="Arial"/>
          <w:sz w:val="28"/>
          <w:szCs w:val="28"/>
        </w:rPr>
      </w:pPr>
      <w:r>
        <w:rPr>
          <w:rStyle w:val="Strong"/>
          <w:rFonts w:ascii="Arial" w:hAnsi="Arial" w:cs="Arial"/>
          <w:noProof/>
          <w14:ligatures w14:val="standardContextual"/>
        </w:rPr>
        <w:pict w14:anchorId="73639287">
          <v:rect id="_x0000_i1029" alt="" style="width:451.3pt;height:.05pt;mso-width-percent:0;mso-height-percent:0;mso-width-percent:0;mso-height-percent:0" o:hralign="center" o:hrstd="t" o:hr="t" fillcolor="#a0a0a0" stroked="f"/>
        </w:pict>
      </w:r>
    </w:p>
    <w:p w14:paraId="75F66B0C" w14:textId="77777777" w:rsidR="00D94033" w:rsidRDefault="00D94033" w:rsidP="008B78CF">
      <w:pPr>
        <w:pStyle w:val="NormalWeb"/>
        <w:spacing w:before="0" w:beforeAutospacing="0" w:after="0" w:afterAutospacing="0"/>
        <w:jc w:val="both"/>
        <w:rPr>
          <w:rStyle w:val="Strong"/>
          <w:rFonts w:ascii="Arial" w:hAnsi="Arial" w:cs="Arial"/>
          <w:i/>
          <w:iCs/>
          <w:sz w:val="22"/>
          <w:szCs w:val="22"/>
        </w:rPr>
      </w:pPr>
    </w:p>
    <w:p w14:paraId="1DA8758A" w14:textId="5E36C37D" w:rsidR="008B78CF" w:rsidRPr="003B506F" w:rsidRDefault="008B78CF" w:rsidP="008B78CF">
      <w:pPr>
        <w:pStyle w:val="NormalWeb"/>
        <w:spacing w:before="0" w:beforeAutospacing="0" w:after="0" w:afterAutospacing="0"/>
        <w:jc w:val="both"/>
        <w:rPr>
          <w:rStyle w:val="Strong"/>
          <w:rFonts w:ascii="Arial" w:hAnsi="Arial" w:cs="Arial"/>
          <w:i/>
          <w:iCs/>
          <w:sz w:val="22"/>
          <w:szCs w:val="22"/>
        </w:rPr>
      </w:pPr>
      <w:r w:rsidRPr="003B506F">
        <w:rPr>
          <w:rStyle w:val="Strong"/>
          <w:rFonts w:ascii="Arial" w:hAnsi="Arial" w:cs="Arial"/>
          <w:i/>
          <w:iCs/>
          <w:sz w:val="22"/>
          <w:szCs w:val="22"/>
        </w:rPr>
        <w:t>ABOUT THE NATIONAL CREDIT REGULATOR</w:t>
      </w:r>
    </w:p>
    <w:p w14:paraId="62B20047" w14:textId="77777777" w:rsidR="008B78CF" w:rsidRPr="003B506F" w:rsidRDefault="008B78CF" w:rsidP="008B78CF">
      <w:pPr>
        <w:pStyle w:val="NormalWeb"/>
        <w:spacing w:before="0" w:beforeAutospacing="0" w:after="0" w:afterAutospacing="0"/>
        <w:jc w:val="both"/>
        <w:rPr>
          <w:rFonts w:ascii="Arial" w:hAnsi="Arial" w:cs="Arial"/>
          <w:i/>
          <w:iCs/>
          <w:sz w:val="22"/>
          <w:szCs w:val="22"/>
        </w:rPr>
      </w:pPr>
    </w:p>
    <w:p w14:paraId="73F644FE" w14:textId="1BFFCDA8" w:rsidR="008B78CF" w:rsidRDefault="008B78CF" w:rsidP="009F051C">
      <w:pPr>
        <w:pStyle w:val="NormalWeb"/>
        <w:spacing w:before="0" w:beforeAutospacing="0" w:after="0" w:afterAutospacing="0"/>
        <w:jc w:val="both"/>
        <w:rPr>
          <w:rFonts w:ascii="Arial" w:hAnsi="Arial" w:cs="Arial"/>
          <w:b/>
          <w:bCs/>
          <w:i/>
          <w:iCs/>
          <w:sz w:val="22"/>
          <w:szCs w:val="22"/>
        </w:rPr>
      </w:pPr>
      <w:r w:rsidRPr="003B506F">
        <w:rPr>
          <w:rFonts w:ascii="Arial" w:hAnsi="Arial" w:cs="Arial"/>
          <w:b/>
          <w:bCs/>
          <w:i/>
          <w:iCs/>
          <w:sz w:val="22"/>
          <w:szCs w:val="22"/>
        </w:rPr>
        <w:t>The National Credit Regulator is tasked with regulating the South African credit industry, ensuring fair practices, promoting responsible lending, and protecting consumer rights under the National Credit Act.</w:t>
      </w:r>
      <w:r w:rsidR="00B817A5">
        <w:rPr>
          <w:rFonts w:ascii="Arial" w:hAnsi="Arial" w:cs="Arial"/>
          <w:b/>
          <w:bCs/>
          <w:i/>
          <w:iCs/>
          <w:sz w:val="22"/>
          <w:szCs w:val="22"/>
        </w:rPr>
        <w:t xml:space="preserve"> </w:t>
      </w:r>
    </w:p>
    <w:p w14:paraId="29A549BC" w14:textId="509BCD49" w:rsidR="005F6CE5" w:rsidRPr="006D0EA1" w:rsidRDefault="005F6CE5" w:rsidP="009F051C">
      <w:pPr>
        <w:pStyle w:val="NormalWeb"/>
        <w:spacing w:before="0" w:beforeAutospacing="0" w:after="0" w:afterAutospacing="0"/>
        <w:jc w:val="both"/>
        <w:rPr>
          <w:rFonts w:ascii="Arial" w:hAnsi="Arial" w:cs="Arial"/>
          <w:b/>
          <w:bCs/>
          <w:i/>
          <w:iCs/>
          <w:sz w:val="22"/>
          <w:szCs w:val="22"/>
        </w:rPr>
      </w:pPr>
    </w:p>
    <w:sectPr w:rsidR="005F6CE5" w:rsidRPr="006D0EA1" w:rsidSect="00D94033">
      <w:headerReference w:type="first" r:id="rId15"/>
      <w:pgSz w:w="11907" w:h="16839" w:code="9"/>
      <w:pgMar w:top="1589" w:right="1035" w:bottom="776" w:left="1233" w:header="0"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8D4B8" w14:textId="77777777" w:rsidR="00475BA4" w:rsidRDefault="00475BA4">
      <w:r>
        <w:separator/>
      </w:r>
    </w:p>
  </w:endnote>
  <w:endnote w:type="continuationSeparator" w:id="0">
    <w:p w14:paraId="35568B8B" w14:textId="77777777" w:rsidR="00475BA4" w:rsidRDefault="0047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AAE7B" w14:textId="77777777" w:rsidR="00475BA4" w:rsidRDefault="00475BA4">
      <w:r>
        <w:separator/>
      </w:r>
    </w:p>
  </w:footnote>
  <w:footnote w:type="continuationSeparator" w:id="0">
    <w:p w14:paraId="47981B7D" w14:textId="77777777" w:rsidR="00475BA4" w:rsidRDefault="0047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3A2E" w14:textId="2E8AD38D" w:rsidR="0025167B" w:rsidRDefault="005F6CE5" w:rsidP="00D739DE">
    <w:pPr>
      <w:pStyle w:val="Header"/>
      <w:jc w:val="right"/>
    </w:pPr>
    <w:r>
      <w:rPr>
        <w:noProof/>
      </w:rPr>
      <w:drawing>
        <wp:inline distT="0" distB="0" distL="0" distR="0" wp14:anchorId="7302699E" wp14:editId="71A14009">
          <wp:extent cx="781050" cy="999764"/>
          <wp:effectExtent l="0" t="0" r="0" b="3810"/>
          <wp:docPr id="596619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336" cy="10039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B1C42"/>
    <w:multiLevelType w:val="hybridMultilevel"/>
    <w:tmpl w:val="8F9A8C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DF1CFF"/>
    <w:multiLevelType w:val="multilevel"/>
    <w:tmpl w:val="27E4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D5589"/>
    <w:multiLevelType w:val="multilevel"/>
    <w:tmpl w:val="76F8876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BD06B2A"/>
    <w:multiLevelType w:val="hybridMultilevel"/>
    <w:tmpl w:val="A4A00D5C"/>
    <w:lvl w:ilvl="0" w:tplc="D9CE74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DF41B5"/>
    <w:multiLevelType w:val="hybridMultilevel"/>
    <w:tmpl w:val="C472E3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0850065"/>
    <w:multiLevelType w:val="hybridMultilevel"/>
    <w:tmpl w:val="BBDA1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0B270AB"/>
    <w:multiLevelType w:val="hybridMultilevel"/>
    <w:tmpl w:val="25A6BA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A36575C"/>
    <w:multiLevelType w:val="hybridMultilevel"/>
    <w:tmpl w:val="C4A0DE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C6C2842"/>
    <w:multiLevelType w:val="hybridMultilevel"/>
    <w:tmpl w:val="69D0A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B7C06B6"/>
    <w:multiLevelType w:val="multilevel"/>
    <w:tmpl w:val="4842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995972">
    <w:abstractNumId w:val="7"/>
  </w:num>
  <w:num w:numId="2" w16cid:durableId="911742162">
    <w:abstractNumId w:val="3"/>
  </w:num>
  <w:num w:numId="3" w16cid:durableId="404498138">
    <w:abstractNumId w:val="0"/>
  </w:num>
  <w:num w:numId="4" w16cid:durableId="355935392">
    <w:abstractNumId w:val="5"/>
  </w:num>
  <w:num w:numId="5" w16cid:durableId="1181047265">
    <w:abstractNumId w:val="8"/>
  </w:num>
  <w:num w:numId="6" w16cid:durableId="1057898321">
    <w:abstractNumId w:val="6"/>
  </w:num>
  <w:num w:numId="7" w16cid:durableId="1180853439">
    <w:abstractNumId w:val="4"/>
  </w:num>
  <w:num w:numId="8" w16cid:durableId="334453056">
    <w:abstractNumId w:val="9"/>
  </w:num>
  <w:num w:numId="9" w16cid:durableId="772478877">
    <w:abstractNumId w:val="1"/>
  </w:num>
  <w:num w:numId="10" w16cid:durableId="74969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CF"/>
    <w:rsid w:val="000132F2"/>
    <w:rsid w:val="00040609"/>
    <w:rsid w:val="000436DA"/>
    <w:rsid w:val="00043A7A"/>
    <w:rsid w:val="00046833"/>
    <w:rsid w:val="000627FD"/>
    <w:rsid w:val="00074384"/>
    <w:rsid w:val="000B5238"/>
    <w:rsid w:val="000C77BA"/>
    <w:rsid w:val="000F56DB"/>
    <w:rsid w:val="000F604C"/>
    <w:rsid w:val="00102E0E"/>
    <w:rsid w:val="00110892"/>
    <w:rsid w:val="00121931"/>
    <w:rsid w:val="00126CB9"/>
    <w:rsid w:val="0012755A"/>
    <w:rsid w:val="00132F88"/>
    <w:rsid w:val="00143F5A"/>
    <w:rsid w:val="001466CD"/>
    <w:rsid w:val="00160A51"/>
    <w:rsid w:val="0016597B"/>
    <w:rsid w:val="00165A4E"/>
    <w:rsid w:val="00171654"/>
    <w:rsid w:val="00171F80"/>
    <w:rsid w:val="001A053C"/>
    <w:rsid w:val="001A1545"/>
    <w:rsid w:val="001A2675"/>
    <w:rsid w:val="001A474D"/>
    <w:rsid w:val="001A642F"/>
    <w:rsid w:val="001C2C94"/>
    <w:rsid w:val="001C5126"/>
    <w:rsid w:val="001E4805"/>
    <w:rsid w:val="001F316B"/>
    <w:rsid w:val="0022483B"/>
    <w:rsid w:val="00250B3F"/>
    <w:rsid w:val="0025167B"/>
    <w:rsid w:val="002B1248"/>
    <w:rsid w:val="002D6D77"/>
    <w:rsid w:val="002E02B8"/>
    <w:rsid w:val="002E572D"/>
    <w:rsid w:val="003051E4"/>
    <w:rsid w:val="003273F3"/>
    <w:rsid w:val="00330155"/>
    <w:rsid w:val="00335483"/>
    <w:rsid w:val="0036602A"/>
    <w:rsid w:val="00366758"/>
    <w:rsid w:val="0038482E"/>
    <w:rsid w:val="003A5A80"/>
    <w:rsid w:val="003B709C"/>
    <w:rsid w:val="003C1C6D"/>
    <w:rsid w:val="003D074B"/>
    <w:rsid w:val="003D20F8"/>
    <w:rsid w:val="003E2AA9"/>
    <w:rsid w:val="003F432B"/>
    <w:rsid w:val="003F7D89"/>
    <w:rsid w:val="00425D66"/>
    <w:rsid w:val="004354A4"/>
    <w:rsid w:val="00451973"/>
    <w:rsid w:val="004709C7"/>
    <w:rsid w:val="0047293E"/>
    <w:rsid w:val="00475BA4"/>
    <w:rsid w:val="00475BDC"/>
    <w:rsid w:val="00491C3B"/>
    <w:rsid w:val="004F1AE6"/>
    <w:rsid w:val="004F75B5"/>
    <w:rsid w:val="0052372A"/>
    <w:rsid w:val="00537906"/>
    <w:rsid w:val="00545FE8"/>
    <w:rsid w:val="0055086C"/>
    <w:rsid w:val="00557D86"/>
    <w:rsid w:val="005709A6"/>
    <w:rsid w:val="00573377"/>
    <w:rsid w:val="00582A6B"/>
    <w:rsid w:val="005A2A52"/>
    <w:rsid w:val="005C626D"/>
    <w:rsid w:val="005D048A"/>
    <w:rsid w:val="005F3248"/>
    <w:rsid w:val="005F597F"/>
    <w:rsid w:val="005F6CE5"/>
    <w:rsid w:val="006074D2"/>
    <w:rsid w:val="006156BA"/>
    <w:rsid w:val="0062028A"/>
    <w:rsid w:val="00643DA0"/>
    <w:rsid w:val="00671269"/>
    <w:rsid w:val="0067446A"/>
    <w:rsid w:val="006A028D"/>
    <w:rsid w:val="006A06AB"/>
    <w:rsid w:val="006A23F7"/>
    <w:rsid w:val="006A318D"/>
    <w:rsid w:val="006B05EB"/>
    <w:rsid w:val="006D0EA1"/>
    <w:rsid w:val="006F4CF7"/>
    <w:rsid w:val="007171EB"/>
    <w:rsid w:val="00720B55"/>
    <w:rsid w:val="00735A72"/>
    <w:rsid w:val="00737D88"/>
    <w:rsid w:val="007658A0"/>
    <w:rsid w:val="007849A6"/>
    <w:rsid w:val="007B134D"/>
    <w:rsid w:val="007B4F2B"/>
    <w:rsid w:val="007C3196"/>
    <w:rsid w:val="007C784A"/>
    <w:rsid w:val="007E5F3D"/>
    <w:rsid w:val="00814B5A"/>
    <w:rsid w:val="008225D9"/>
    <w:rsid w:val="00823035"/>
    <w:rsid w:val="00863F99"/>
    <w:rsid w:val="00872820"/>
    <w:rsid w:val="00875A6E"/>
    <w:rsid w:val="00895988"/>
    <w:rsid w:val="008A7A84"/>
    <w:rsid w:val="008B78CF"/>
    <w:rsid w:val="008D41DF"/>
    <w:rsid w:val="008E7101"/>
    <w:rsid w:val="00905590"/>
    <w:rsid w:val="00910019"/>
    <w:rsid w:val="009230C7"/>
    <w:rsid w:val="009304CA"/>
    <w:rsid w:val="00937BC3"/>
    <w:rsid w:val="00947FD6"/>
    <w:rsid w:val="009742FB"/>
    <w:rsid w:val="009944B5"/>
    <w:rsid w:val="009A06D2"/>
    <w:rsid w:val="009A29F1"/>
    <w:rsid w:val="009A6C56"/>
    <w:rsid w:val="009A6E8B"/>
    <w:rsid w:val="009B30AF"/>
    <w:rsid w:val="009C2216"/>
    <w:rsid w:val="009C4E4A"/>
    <w:rsid w:val="009D0907"/>
    <w:rsid w:val="009E4BD8"/>
    <w:rsid w:val="009F051C"/>
    <w:rsid w:val="009F40F8"/>
    <w:rsid w:val="009F5E3C"/>
    <w:rsid w:val="009F7591"/>
    <w:rsid w:val="00A0316F"/>
    <w:rsid w:val="00A1694B"/>
    <w:rsid w:val="00A31E5D"/>
    <w:rsid w:val="00A50AA3"/>
    <w:rsid w:val="00A84AB8"/>
    <w:rsid w:val="00A862B0"/>
    <w:rsid w:val="00A87054"/>
    <w:rsid w:val="00B253A7"/>
    <w:rsid w:val="00B45B0E"/>
    <w:rsid w:val="00B817A5"/>
    <w:rsid w:val="00B87E9F"/>
    <w:rsid w:val="00B9495F"/>
    <w:rsid w:val="00BA08C2"/>
    <w:rsid w:val="00BB6D41"/>
    <w:rsid w:val="00BD56C9"/>
    <w:rsid w:val="00BF3A74"/>
    <w:rsid w:val="00C261CD"/>
    <w:rsid w:val="00C27492"/>
    <w:rsid w:val="00C30574"/>
    <w:rsid w:val="00C476A3"/>
    <w:rsid w:val="00C8106E"/>
    <w:rsid w:val="00C82862"/>
    <w:rsid w:val="00C878C1"/>
    <w:rsid w:val="00C95526"/>
    <w:rsid w:val="00C97232"/>
    <w:rsid w:val="00CB53E4"/>
    <w:rsid w:val="00CB7ED6"/>
    <w:rsid w:val="00CE02D0"/>
    <w:rsid w:val="00CF2D1F"/>
    <w:rsid w:val="00D21DD9"/>
    <w:rsid w:val="00D246DB"/>
    <w:rsid w:val="00D25C88"/>
    <w:rsid w:val="00D37E7B"/>
    <w:rsid w:val="00D67142"/>
    <w:rsid w:val="00D83C53"/>
    <w:rsid w:val="00D94033"/>
    <w:rsid w:val="00DC4668"/>
    <w:rsid w:val="00DE5A6A"/>
    <w:rsid w:val="00E10255"/>
    <w:rsid w:val="00E17AB5"/>
    <w:rsid w:val="00E73A1A"/>
    <w:rsid w:val="00E76ABE"/>
    <w:rsid w:val="00E85261"/>
    <w:rsid w:val="00EB7922"/>
    <w:rsid w:val="00EE4666"/>
    <w:rsid w:val="00EE5049"/>
    <w:rsid w:val="00EE5AEB"/>
    <w:rsid w:val="00F1575A"/>
    <w:rsid w:val="00F22D36"/>
    <w:rsid w:val="00F3632A"/>
    <w:rsid w:val="00F66E90"/>
    <w:rsid w:val="00F7150C"/>
    <w:rsid w:val="00FA1130"/>
    <w:rsid w:val="00FA3C3C"/>
    <w:rsid w:val="00FD1B69"/>
    <w:rsid w:val="00FF0D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C0867"/>
  <w15:chartTrackingRefBased/>
  <w15:docId w15:val="{51AD03BA-16CD-4E2A-946F-73E03EA7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CF"/>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B7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8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8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8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8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8CF"/>
    <w:rPr>
      <w:rFonts w:eastAsiaTheme="majorEastAsia" w:cstheme="majorBidi"/>
      <w:color w:val="272727" w:themeColor="text1" w:themeTint="D8"/>
    </w:rPr>
  </w:style>
  <w:style w:type="paragraph" w:styleId="Title">
    <w:name w:val="Title"/>
    <w:basedOn w:val="Normal"/>
    <w:next w:val="Normal"/>
    <w:link w:val="TitleChar"/>
    <w:uiPriority w:val="10"/>
    <w:qFormat/>
    <w:rsid w:val="008B78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8CF"/>
    <w:pPr>
      <w:spacing w:before="160"/>
      <w:jc w:val="center"/>
    </w:pPr>
    <w:rPr>
      <w:i/>
      <w:iCs/>
      <w:color w:val="404040" w:themeColor="text1" w:themeTint="BF"/>
    </w:rPr>
  </w:style>
  <w:style w:type="character" w:customStyle="1" w:styleId="QuoteChar">
    <w:name w:val="Quote Char"/>
    <w:basedOn w:val="DefaultParagraphFont"/>
    <w:link w:val="Quote"/>
    <w:uiPriority w:val="29"/>
    <w:rsid w:val="008B78CF"/>
    <w:rPr>
      <w:i/>
      <w:iCs/>
      <w:color w:val="404040" w:themeColor="text1" w:themeTint="BF"/>
    </w:rPr>
  </w:style>
  <w:style w:type="paragraph" w:styleId="ListParagraph">
    <w:name w:val="List Paragraph"/>
    <w:basedOn w:val="Normal"/>
    <w:uiPriority w:val="34"/>
    <w:qFormat/>
    <w:rsid w:val="008B78CF"/>
    <w:pPr>
      <w:ind w:left="720"/>
      <w:contextualSpacing/>
    </w:pPr>
  </w:style>
  <w:style w:type="character" w:styleId="IntenseEmphasis">
    <w:name w:val="Intense Emphasis"/>
    <w:basedOn w:val="DefaultParagraphFont"/>
    <w:uiPriority w:val="21"/>
    <w:qFormat/>
    <w:rsid w:val="008B78CF"/>
    <w:rPr>
      <w:i/>
      <w:iCs/>
      <w:color w:val="0F4761" w:themeColor="accent1" w:themeShade="BF"/>
    </w:rPr>
  </w:style>
  <w:style w:type="paragraph" w:styleId="IntenseQuote">
    <w:name w:val="Intense Quote"/>
    <w:basedOn w:val="Normal"/>
    <w:next w:val="Normal"/>
    <w:link w:val="IntenseQuoteChar"/>
    <w:uiPriority w:val="30"/>
    <w:qFormat/>
    <w:rsid w:val="008B7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8CF"/>
    <w:rPr>
      <w:i/>
      <w:iCs/>
      <w:color w:val="0F4761" w:themeColor="accent1" w:themeShade="BF"/>
    </w:rPr>
  </w:style>
  <w:style w:type="character" w:styleId="IntenseReference">
    <w:name w:val="Intense Reference"/>
    <w:basedOn w:val="DefaultParagraphFont"/>
    <w:uiPriority w:val="32"/>
    <w:qFormat/>
    <w:rsid w:val="008B78CF"/>
    <w:rPr>
      <w:b/>
      <w:bCs/>
      <w:smallCaps/>
      <w:color w:val="0F4761" w:themeColor="accent1" w:themeShade="BF"/>
      <w:spacing w:val="5"/>
    </w:rPr>
  </w:style>
  <w:style w:type="paragraph" w:styleId="Header">
    <w:name w:val="header"/>
    <w:basedOn w:val="Normal"/>
    <w:link w:val="HeaderChar"/>
    <w:rsid w:val="008B78CF"/>
    <w:pPr>
      <w:tabs>
        <w:tab w:val="center" w:pos="4320"/>
        <w:tab w:val="right" w:pos="8640"/>
      </w:tabs>
    </w:pPr>
  </w:style>
  <w:style w:type="character" w:customStyle="1" w:styleId="HeaderChar">
    <w:name w:val="Header Char"/>
    <w:basedOn w:val="DefaultParagraphFont"/>
    <w:link w:val="Header"/>
    <w:rsid w:val="008B78CF"/>
    <w:rPr>
      <w:rFonts w:ascii="Times New Roman" w:eastAsia="Times New Roman" w:hAnsi="Times New Roman" w:cs="Times New Roman"/>
      <w:kern w:val="0"/>
      <w:lang w:val="en-US"/>
      <w14:ligatures w14:val="none"/>
    </w:rPr>
  </w:style>
  <w:style w:type="character" w:styleId="Hyperlink">
    <w:name w:val="Hyperlink"/>
    <w:rsid w:val="008B78CF"/>
    <w:rPr>
      <w:color w:val="0000FF"/>
      <w:u w:val="single"/>
    </w:rPr>
  </w:style>
  <w:style w:type="paragraph" w:styleId="NormalWeb">
    <w:name w:val="Normal (Web)"/>
    <w:basedOn w:val="Normal"/>
    <w:uiPriority w:val="99"/>
    <w:unhideWhenUsed/>
    <w:rsid w:val="008B78CF"/>
    <w:pPr>
      <w:spacing w:before="100" w:beforeAutospacing="1" w:after="100" w:afterAutospacing="1"/>
    </w:pPr>
    <w:rPr>
      <w:lang w:val="en-ZA" w:eastAsia="en-GB"/>
    </w:rPr>
  </w:style>
  <w:style w:type="character" w:styleId="Strong">
    <w:name w:val="Strong"/>
    <w:uiPriority w:val="22"/>
    <w:qFormat/>
    <w:rsid w:val="008B78CF"/>
    <w:rPr>
      <w:b/>
      <w:bCs/>
    </w:rPr>
  </w:style>
  <w:style w:type="character" w:customStyle="1" w:styleId="apple-converted-space">
    <w:name w:val="apple-converted-space"/>
    <w:basedOn w:val="DefaultParagraphFont"/>
    <w:rsid w:val="008B78CF"/>
  </w:style>
  <w:style w:type="paragraph" w:styleId="NoSpacing">
    <w:name w:val="No Spacing"/>
    <w:link w:val="NoSpacingChar"/>
    <w:uiPriority w:val="1"/>
    <w:qFormat/>
    <w:rsid w:val="008B78CF"/>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8B78CF"/>
    <w:rPr>
      <w:rFonts w:ascii="Calibri" w:eastAsia="Calibri" w:hAnsi="Calibri" w:cs="Times New Roman"/>
      <w:kern w:val="0"/>
      <w:sz w:val="22"/>
      <w:szCs w:val="22"/>
      <w14:ligatures w14:val="none"/>
    </w:rPr>
  </w:style>
  <w:style w:type="paragraph" w:styleId="Revision">
    <w:name w:val="Revision"/>
    <w:hidden/>
    <w:uiPriority w:val="99"/>
    <w:semiHidden/>
    <w:rsid w:val="008B78CF"/>
    <w:pPr>
      <w:spacing w:after="0" w:line="240" w:lineRule="auto"/>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4F75B5"/>
    <w:pPr>
      <w:tabs>
        <w:tab w:val="center" w:pos="4513"/>
        <w:tab w:val="right" w:pos="9026"/>
      </w:tabs>
    </w:pPr>
  </w:style>
  <w:style w:type="character" w:customStyle="1" w:styleId="FooterChar">
    <w:name w:val="Footer Char"/>
    <w:basedOn w:val="DefaultParagraphFont"/>
    <w:link w:val="Footer"/>
    <w:uiPriority w:val="99"/>
    <w:rsid w:val="004F75B5"/>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6D0EA1"/>
    <w:rPr>
      <w:color w:val="605E5C"/>
      <w:shd w:val="clear" w:color="auto" w:fill="E1DFDD"/>
    </w:rPr>
  </w:style>
  <w:style w:type="character" w:styleId="CommentReference">
    <w:name w:val="annotation reference"/>
    <w:basedOn w:val="DefaultParagraphFont"/>
    <w:uiPriority w:val="99"/>
    <w:semiHidden/>
    <w:unhideWhenUsed/>
    <w:rsid w:val="004F1AE6"/>
    <w:rPr>
      <w:sz w:val="16"/>
      <w:szCs w:val="16"/>
    </w:rPr>
  </w:style>
  <w:style w:type="paragraph" w:styleId="CommentText">
    <w:name w:val="annotation text"/>
    <w:basedOn w:val="Normal"/>
    <w:link w:val="CommentTextChar"/>
    <w:uiPriority w:val="99"/>
    <w:unhideWhenUsed/>
    <w:rsid w:val="004F1AE6"/>
    <w:rPr>
      <w:sz w:val="20"/>
      <w:szCs w:val="20"/>
    </w:rPr>
  </w:style>
  <w:style w:type="character" w:customStyle="1" w:styleId="CommentTextChar">
    <w:name w:val="Comment Text Char"/>
    <w:basedOn w:val="DefaultParagraphFont"/>
    <w:link w:val="CommentText"/>
    <w:uiPriority w:val="99"/>
    <w:rsid w:val="004F1AE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F1AE6"/>
    <w:rPr>
      <w:b/>
      <w:bCs/>
    </w:rPr>
  </w:style>
  <w:style w:type="character" w:customStyle="1" w:styleId="CommentSubjectChar">
    <w:name w:val="Comment Subject Char"/>
    <w:basedOn w:val="CommentTextChar"/>
    <w:link w:val="CommentSubject"/>
    <w:uiPriority w:val="99"/>
    <w:semiHidden/>
    <w:rsid w:val="004F1AE6"/>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mthembu@ncr.org.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160;www.ncr.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rabathata@ncr.org.z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cr.org.za/register_of_registrant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3.safelinks.protection.outlook.com/?url=http%3A%2F%2Fwww.ncr.org.za%2F&amp;data=05%7C02%7CTMthembu%40ncr.org.za%7C2a61b116c7254e19abec08dc79b1217a%7C9c24d5180d3b43368040f585907bddb2%7C0%7C0%7C638519048874369807%7CUnknown%7CTWFpbGZsb3d8eyJWIjoiMC4wLjAwMDAiLCJQIjoiV2luMzIiLCJBTiI6Ik1haWwiLCJXVCI6Mn0%3D%7C0%7C%7C%7C&amp;sdata=2JCxF3owHvuNSyjEdYQH001ekpibAQYd7likS85beYM%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c772f2a-86d6-4948-89f0-9a47cdd94c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05C03E30559C4296AEC812123C7C0D" ma:contentTypeVersion="16" ma:contentTypeDescription="Create a new document." ma:contentTypeScope="" ma:versionID="d1152c6e262fa94ebc577a828c3d8924">
  <xsd:schema xmlns:xsd="http://www.w3.org/2001/XMLSchema" xmlns:xs="http://www.w3.org/2001/XMLSchema" xmlns:p="http://schemas.microsoft.com/office/2006/metadata/properties" xmlns:ns3="6b1e0f2a-dac9-4fe2-ba69-4edcd951c36e" xmlns:ns4="4c772f2a-86d6-4948-89f0-9a47cdd94c24" targetNamespace="http://schemas.microsoft.com/office/2006/metadata/properties" ma:root="true" ma:fieldsID="012c211fa3331eaaf48bf8d178988e73" ns3:_="" ns4:_="">
    <xsd:import namespace="6b1e0f2a-dac9-4fe2-ba69-4edcd951c36e"/>
    <xsd:import namespace="4c772f2a-86d6-4948-89f0-9a47cdd94c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e0f2a-dac9-4fe2-ba69-4edcd951c3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72f2a-86d6-4948-89f0-9a47cdd94c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20048-2F39-4E56-AF65-67A968E79E81}">
  <ds:schemaRefs>
    <ds:schemaRef ds:uri="http://schemas.microsoft.com/sharepoint/v3/contenttype/forms"/>
  </ds:schemaRefs>
</ds:datastoreItem>
</file>

<file path=customXml/itemProps2.xml><?xml version="1.0" encoding="utf-8"?>
<ds:datastoreItem xmlns:ds="http://schemas.openxmlformats.org/officeDocument/2006/customXml" ds:itemID="{2F78DFA2-87BC-4E34-B0F7-62199D3064D2}">
  <ds:schemaRefs>
    <ds:schemaRef ds:uri="http://schemas.microsoft.com/office/2006/metadata/properties"/>
    <ds:schemaRef ds:uri="http://schemas.microsoft.com/office/infopath/2007/PartnerControls"/>
    <ds:schemaRef ds:uri="4c772f2a-86d6-4948-89f0-9a47cdd94c24"/>
  </ds:schemaRefs>
</ds:datastoreItem>
</file>

<file path=customXml/itemProps3.xml><?xml version="1.0" encoding="utf-8"?>
<ds:datastoreItem xmlns:ds="http://schemas.openxmlformats.org/officeDocument/2006/customXml" ds:itemID="{021D31DD-BCD5-4F6F-9BC6-BAF3C2E9F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e0f2a-dac9-4fe2-ba69-4edcd951c36e"/>
    <ds:schemaRef ds:uri="4c772f2a-86d6-4948-89f0-9a47cdd9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Rishana Singh</dc:creator>
  <cp:keywords/>
  <dc:description/>
  <cp:lastModifiedBy>Tebogo Ntsimane</cp:lastModifiedBy>
  <cp:revision>4</cp:revision>
  <dcterms:created xsi:type="dcterms:W3CDTF">2025-04-16T08:07:00Z</dcterms:created>
  <dcterms:modified xsi:type="dcterms:W3CDTF">2025-04-16T08:09:00Z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0x0101000F05C03E30559C4296AEC812123C7C0D</vt:lpwstr>
  </property>
</Properties>
</file>