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68" w:rsidRPr="002D0917" w:rsidRDefault="00C25A68" w:rsidP="00C25A68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u w:val="single"/>
        </w:rPr>
      </w:pPr>
      <w:r w:rsidRPr="002D0917">
        <w:rPr>
          <w:rFonts w:asciiTheme="minorHAnsi" w:hAnsiTheme="minorHAnsi" w:cstheme="minorHAnsi"/>
          <w:b/>
          <w:sz w:val="40"/>
          <w:u w:val="single"/>
        </w:rPr>
        <w:t>Terms of reference for performing due diligence review</w:t>
      </w:r>
    </w:p>
    <w:p w:rsidR="00320643" w:rsidRDefault="00320643" w:rsidP="004B497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574DAE" w:rsidRPr="00A41698" w:rsidRDefault="00A41698" w:rsidP="004B4973">
      <w:pPr>
        <w:spacing w:after="0" w:line="240" w:lineRule="auto"/>
        <w:jc w:val="both"/>
        <w:rPr>
          <w:rFonts w:asciiTheme="minorHAnsi" w:hAnsiTheme="minorHAnsi" w:cstheme="minorHAnsi"/>
          <w:sz w:val="24"/>
          <w:u w:val="single"/>
        </w:rPr>
      </w:pPr>
      <w:r w:rsidRPr="00A41698">
        <w:rPr>
          <w:rFonts w:asciiTheme="minorHAnsi" w:hAnsiTheme="minorHAnsi" w:cstheme="minorHAnsi"/>
          <w:b/>
          <w:sz w:val="24"/>
          <w:u w:val="single"/>
        </w:rPr>
        <w:t>CREDIT BUREAU</w:t>
      </w:r>
      <w:r w:rsidR="004B4973" w:rsidRPr="00A41698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:rsidR="00156607" w:rsidRDefault="00156607" w:rsidP="004B497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574DAE" w:rsidRPr="00A41698" w:rsidRDefault="00574DAE" w:rsidP="004B497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41698">
        <w:rPr>
          <w:rFonts w:asciiTheme="minorHAnsi" w:hAnsiTheme="minorHAnsi" w:cstheme="minorHAnsi"/>
          <w:b/>
        </w:rPr>
        <w:t>Background</w:t>
      </w:r>
      <w:bookmarkStart w:id="0" w:name="_GoBack"/>
      <w:bookmarkEnd w:id="0"/>
    </w:p>
    <w:p w:rsidR="005460A7" w:rsidRPr="00D37A8E" w:rsidRDefault="005460A7" w:rsidP="004B497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574DAE" w:rsidRPr="00D37A8E" w:rsidRDefault="00574DAE" w:rsidP="004B4973">
      <w:pPr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The N</w:t>
      </w:r>
      <w:r w:rsidR="004B4973" w:rsidRPr="00D37A8E">
        <w:rPr>
          <w:rFonts w:asciiTheme="minorHAnsi" w:hAnsiTheme="minorHAnsi" w:cstheme="minorHAnsi"/>
        </w:rPr>
        <w:t>ational Credit Regulator (“N</w:t>
      </w:r>
      <w:r w:rsidRPr="00D37A8E">
        <w:rPr>
          <w:rFonts w:asciiTheme="minorHAnsi" w:hAnsiTheme="minorHAnsi" w:cstheme="minorHAnsi"/>
        </w:rPr>
        <w:t>CR</w:t>
      </w:r>
      <w:r w:rsidR="004B4973" w:rsidRPr="00D37A8E">
        <w:rPr>
          <w:rFonts w:asciiTheme="minorHAnsi" w:hAnsiTheme="minorHAnsi" w:cstheme="minorHAnsi"/>
        </w:rPr>
        <w:t>”)</w:t>
      </w:r>
      <w:r w:rsidRPr="00D37A8E">
        <w:rPr>
          <w:rFonts w:asciiTheme="minorHAnsi" w:hAnsiTheme="minorHAnsi" w:cstheme="minorHAnsi"/>
        </w:rPr>
        <w:t xml:space="preserve"> receives applications from potential </w:t>
      </w:r>
      <w:r w:rsidR="00CC07D2">
        <w:rPr>
          <w:rFonts w:asciiTheme="minorHAnsi" w:hAnsiTheme="minorHAnsi" w:cstheme="minorHAnsi"/>
        </w:rPr>
        <w:t>credit bureaux</w:t>
      </w:r>
      <w:r w:rsidRPr="00D37A8E">
        <w:rPr>
          <w:rFonts w:asciiTheme="minorHAnsi" w:hAnsiTheme="minorHAnsi" w:cstheme="minorHAnsi"/>
        </w:rPr>
        <w:t xml:space="preserve">. </w:t>
      </w:r>
      <w:r w:rsidR="004B4973" w:rsidRPr="00D37A8E">
        <w:rPr>
          <w:rFonts w:asciiTheme="minorHAnsi" w:hAnsiTheme="minorHAnsi" w:cstheme="minorHAnsi"/>
        </w:rPr>
        <w:t xml:space="preserve"> </w:t>
      </w:r>
      <w:r w:rsidRPr="00D37A8E">
        <w:rPr>
          <w:rFonts w:asciiTheme="minorHAnsi" w:hAnsiTheme="minorHAnsi" w:cstheme="minorHAnsi"/>
        </w:rPr>
        <w:t>In terms of Section 43</w:t>
      </w:r>
      <w:r w:rsidR="004B4973" w:rsidRPr="00D37A8E">
        <w:rPr>
          <w:rFonts w:asciiTheme="minorHAnsi" w:hAnsiTheme="minorHAnsi" w:cstheme="minorHAnsi"/>
        </w:rPr>
        <w:t xml:space="preserve"> of the National Credit Act</w:t>
      </w:r>
      <w:r w:rsidR="00EA0474">
        <w:rPr>
          <w:rFonts w:asciiTheme="minorHAnsi" w:hAnsiTheme="minorHAnsi" w:cstheme="minorHAnsi"/>
        </w:rPr>
        <w:t xml:space="preserve"> (NCA)</w:t>
      </w:r>
      <w:r w:rsidR="004B4973" w:rsidRPr="00D37A8E">
        <w:rPr>
          <w:rFonts w:asciiTheme="minorHAnsi" w:hAnsiTheme="minorHAnsi" w:cstheme="minorHAnsi"/>
        </w:rPr>
        <w:t xml:space="preserve"> 2005, as amended (“the Act”)</w:t>
      </w:r>
      <w:r w:rsidRPr="00D37A8E">
        <w:rPr>
          <w:rFonts w:asciiTheme="minorHAnsi" w:hAnsiTheme="minorHAnsi" w:cstheme="minorHAnsi"/>
        </w:rPr>
        <w:t>,</w:t>
      </w:r>
      <w:r w:rsidR="004B4973" w:rsidRPr="00D37A8E">
        <w:rPr>
          <w:rFonts w:asciiTheme="minorHAnsi" w:hAnsiTheme="minorHAnsi" w:cstheme="minorHAnsi"/>
        </w:rPr>
        <w:t xml:space="preserve"> </w:t>
      </w:r>
      <w:r w:rsidR="00CC07D2">
        <w:rPr>
          <w:rFonts w:asciiTheme="minorHAnsi" w:hAnsiTheme="minorHAnsi" w:cstheme="minorHAnsi"/>
        </w:rPr>
        <w:t>credit bureaux</w:t>
      </w:r>
      <w:r w:rsidRPr="00D37A8E">
        <w:rPr>
          <w:rFonts w:asciiTheme="minorHAnsi" w:hAnsiTheme="minorHAnsi" w:cstheme="minorHAnsi"/>
        </w:rPr>
        <w:t xml:space="preserve"> must comply with the following requirements:</w:t>
      </w:r>
    </w:p>
    <w:p w:rsidR="00574DAE" w:rsidRPr="00D37A8E" w:rsidRDefault="004B4973" w:rsidP="004B4973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m</w:t>
      </w:r>
      <w:r w:rsidR="00574DAE" w:rsidRPr="00D37A8E">
        <w:rPr>
          <w:rFonts w:asciiTheme="minorHAnsi" w:hAnsiTheme="minorHAnsi" w:cstheme="minorHAnsi"/>
        </w:rPr>
        <w:t>aintain</w:t>
      </w:r>
      <w:r w:rsidRPr="00D37A8E">
        <w:rPr>
          <w:rFonts w:asciiTheme="minorHAnsi" w:hAnsiTheme="minorHAnsi" w:cstheme="minorHAnsi"/>
        </w:rPr>
        <w:t>ing</w:t>
      </w:r>
      <w:r w:rsidR="00574DAE" w:rsidRPr="00D37A8E">
        <w:rPr>
          <w:rFonts w:asciiTheme="minorHAnsi" w:hAnsiTheme="minorHAnsi" w:cstheme="minorHAnsi"/>
        </w:rPr>
        <w:t xml:space="preserve"> and impos</w:t>
      </w:r>
      <w:r w:rsidRPr="00D37A8E">
        <w:rPr>
          <w:rFonts w:asciiTheme="minorHAnsi" w:hAnsiTheme="minorHAnsi" w:cstheme="minorHAnsi"/>
        </w:rPr>
        <w:t>ing</w:t>
      </w:r>
      <w:r w:rsidR="00574DAE" w:rsidRPr="00D37A8E">
        <w:rPr>
          <w:rFonts w:asciiTheme="minorHAnsi" w:hAnsiTheme="minorHAnsi" w:cstheme="minorHAnsi"/>
        </w:rPr>
        <w:t xml:space="preserve"> appropriate qualifications, competence, knowledge and experience requirements for its employees or contractor</w:t>
      </w:r>
      <w:r w:rsidRPr="00D37A8E">
        <w:rPr>
          <w:rFonts w:asciiTheme="minorHAnsi" w:hAnsiTheme="minorHAnsi" w:cstheme="minorHAnsi"/>
        </w:rPr>
        <w:t>s</w:t>
      </w:r>
      <w:r w:rsidR="00574DAE" w:rsidRPr="00D37A8E">
        <w:rPr>
          <w:rFonts w:asciiTheme="minorHAnsi" w:hAnsiTheme="minorHAnsi" w:cstheme="minorHAnsi"/>
        </w:rPr>
        <w:t xml:space="preserve"> who will have the authority to represent it in any function under the Act; </w:t>
      </w:r>
    </w:p>
    <w:p w:rsidR="00574DAE" w:rsidRPr="00D37A8E" w:rsidRDefault="004B4973" w:rsidP="004B4973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h</w:t>
      </w:r>
      <w:r w:rsidR="00574DAE" w:rsidRPr="00D37A8E">
        <w:rPr>
          <w:rFonts w:asciiTheme="minorHAnsi" w:hAnsiTheme="minorHAnsi" w:cstheme="minorHAnsi"/>
        </w:rPr>
        <w:t>as sufficient human,</w:t>
      </w:r>
      <w:r w:rsidRPr="00D37A8E">
        <w:rPr>
          <w:rFonts w:asciiTheme="minorHAnsi" w:hAnsiTheme="minorHAnsi" w:cstheme="minorHAnsi"/>
        </w:rPr>
        <w:t xml:space="preserve"> </w:t>
      </w:r>
      <w:r w:rsidR="00574DAE" w:rsidRPr="00D37A8E">
        <w:rPr>
          <w:rFonts w:asciiTheme="minorHAnsi" w:hAnsiTheme="minorHAnsi" w:cstheme="minorHAnsi"/>
        </w:rPr>
        <w:t>financial</w:t>
      </w:r>
      <w:r w:rsidRPr="00D37A8E">
        <w:rPr>
          <w:rFonts w:asciiTheme="minorHAnsi" w:hAnsiTheme="minorHAnsi" w:cstheme="minorHAnsi"/>
        </w:rPr>
        <w:t>,</w:t>
      </w:r>
      <w:r w:rsidR="00574DAE" w:rsidRPr="00D37A8E">
        <w:rPr>
          <w:rFonts w:asciiTheme="minorHAnsi" w:hAnsiTheme="minorHAnsi" w:cstheme="minorHAnsi"/>
        </w:rPr>
        <w:t xml:space="preserve"> and operational resources to enable it to function efficiently and to carry out effectively its functions in terms of the </w:t>
      </w:r>
      <w:r w:rsidR="00827702" w:rsidRPr="00D37A8E">
        <w:rPr>
          <w:rFonts w:asciiTheme="minorHAnsi" w:hAnsiTheme="minorHAnsi" w:cstheme="minorHAnsi"/>
        </w:rPr>
        <w:t>A</w:t>
      </w:r>
      <w:r w:rsidR="00FA2622" w:rsidRPr="00D37A8E">
        <w:rPr>
          <w:rFonts w:asciiTheme="minorHAnsi" w:hAnsiTheme="minorHAnsi" w:cstheme="minorHAnsi"/>
        </w:rPr>
        <w:t>ct or</w:t>
      </w:r>
      <w:r w:rsidRPr="00D37A8E">
        <w:rPr>
          <w:rFonts w:asciiTheme="minorHAnsi" w:hAnsiTheme="minorHAnsi" w:cstheme="minorHAnsi"/>
        </w:rPr>
        <w:t xml:space="preserve"> present</w:t>
      </w:r>
      <w:r w:rsidR="00FA2622" w:rsidRPr="00D37A8E">
        <w:rPr>
          <w:rFonts w:asciiTheme="minorHAnsi" w:hAnsiTheme="minorHAnsi" w:cstheme="minorHAnsi"/>
        </w:rPr>
        <w:t>s</w:t>
      </w:r>
      <w:r w:rsidR="00574DAE" w:rsidRPr="00D37A8E">
        <w:rPr>
          <w:rFonts w:asciiTheme="minorHAnsi" w:hAnsiTheme="minorHAnsi" w:cstheme="minorHAnsi"/>
        </w:rPr>
        <w:t xml:space="preserve"> a credible plan to acquire or develop such resources; </w:t>
      </w:r>
    </w:p>
    <w:p w:rsidR="00574DAE" w:rsidRPr="00D37A8E" w:rsidRDefault="004B4973" w:rsidP="004B4973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h</w:t>
      </w:r>
      <w:r w:rsidR="00574DAE" w:rsidRPr="00D37A8E">
        <w:rPr>
          <w:rFonts w:asciiTheme="minorHAnsi" w:hAnsiTheme="minorHAnsi" w:cstheme="minorHAnsi"/>
        </w:rPr>
        <w:t>as adopted procedures to ensure that questi</w:t>
      </w:r>
      <w:r w:rsidRPr="00D37A8E">
        <w:rPr>
          <w:rFonts w:asciiTheme="minorHAnsi" w:hAnsiTheme="minorHAnsi" w:cstheme="minorHAnsi"/>
        </w:rPr>
        <w:t>ons, concerns and complaints of</w:t>
      </w:r>
      <w:r w:rsidR="00574DAE" w:rsidRPr="00D37A8E">
        <w:rPr>
          <w:rFonts w:asciiTheme="minorHAnsi" w:hAnsiTheme="minorHAnsi" w:cstheme="minorHAnsi"/>
        </w:rPr>
        <w:t xml:space="preserve"> consumers or credit providers are treated equitably</w:t>
      </w:r>
      <w:r w:rsidR="00FA2622" w:rsidRPr="00D37A8E">
        <w:rPr>
          <w:rFonts w:asciiTheme="minorHAnsi" w:hAnsiTheme="minorHAnsi" w:cstheme="minorHAnsi"/>
        </w:rPr>
        <w:t xml:space="preserve"> and consistently in a timely, efficient and courteous manner</w:t>
      </w:r>
      <w:r w:rsidR="00574DAE" w:rsidRPr="00D37A8E">
        <w:rPr>
          <w:rFonts w:asciiTheme="minorHAnsi" w:hAnsiTheme="minorHAnsi" w:cstheme="minorHAnsi"/>
        </w:rPr>
        <w:t xml:space="preserve"> or presents to the NC</w:t>
      </w:r>
      <w:r w:rsidR="00FA2622" w:rsidRPr="00D37A8E">
        <w:rPr>
          <w:rFonts w:asciiTheme="minorHAnsi" w:hAnsiTheme="minorHAnsi" w:cstheme="minorHAnsi"/>
        </w:rPr>
        <w:t>R a credible plan to acquire or</w:t>
      </w:r>
      <w:r w:rsidR="00574DAE" w:rsidRPr="00D37A8E">
        <w:rPr>
          <w:rFonts w:asciiTheme="minorHAnsi" w:hAnsiTheme="minorHAnsi" w:cstheme="minorHAnsi"/>
        </w:rPr>
        <w:t xml:space="preserve"> develop </w:t>
      </w:r>
      <w:r w:rsidR="00FA2622" w:rsidRPr="00D37A8E">
        <w:rPr>
          <w:rFonts w:asciiTheme="minorHAnsi" w:hAnsiTheme="minorHAnsi" w:cstheme="minorHAnsi"/>
        </w:rPr>
        <w:t>such</w:t>
      </w:r>
      <w:r w:rsidR="00574DAE" w:rsidRPr="00D37A8E">
        <w:rPr>
          <w:rFonts w:asciiTheme="minorHAnsi" w:hAnsiTheme="minorHAnsi" w:cstheme="minorHAnsi"/>
        </w:rPr>
        <w:t xml:space="preserve"> procedures</w:t>
      </w:r>
      <w:r w:rsidR="00FA2622" w:rsidRPr="00D37A8E">
        <w:rPr>
          <w:rFonts w:asciiTheme="minorHAnsi" w:hAnsiTheme="minorHAnsi" w:cstheme="minorHAnsi"/>
        </w:rPr>
        <w:t>; and</w:t>
      </w:r>
    </w:p>
    <w:p w:rsidR="00574DAE" w:rsidRPr="00D37A8E" w:rsidRDefault="00FA2622" w:rsidP="004B4973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proofErr w:type="gramStart"/>
      <w:r w:rsidRPr="00D37A8E">
        <w:rPr>
          <w:rFonts w:asciiTheme="minorHAnsi" w:hAnsiTheme="minorHAnsi" w:cstheme="minorHAnsi"/>
        </w:rPr>
        <w:t>i</w:t>
      </w:r>
      <w:r w:rsidR="00574DAE" w:rsidRPr="00D37A8E">
        <w:rPr>
          <w:rFonts w:asciiTheme="minorHAnsi" w:hAnsiTheme="minorHAnsi" w:cstheme="minorHAnsi"/>
        </w:rPr>
        <w:t>s</w:t>
      </w:r>
      <w:proofErr w:type="gramEnd"/>
      <w:r w:rsidR="00574DAE" w:rsidRPr="00D37A8E">
        <w:rPr>
          <w:rFonts w:asciiTheme="minorHAnsi" w:hAnsiTheme="minorHAnsi" w:cstheme="minorHAnsi"/>
        </w:rPr>
        <w:t xml:space="preserve"> registered with the South African Revenue Services.</w:t>
      </w:r>
    </w:p>
    <w:p w:rsidR="00574DAE" w:rsidRPr="00D37A8E" w:rsidRDefault="00574DAE" w:rsidP="004B4973">
      <w:pPr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In a</w:t>
      </w:r>
      <w:r w:rsidR="00FA2622" w:rsidRPr="00D37A8E">
        <w:rPr>
          <w:rFonts w:asciiTheme="minorHAnsi" w:hAnsiTheme="minorHAnsi" w:cstheme="minorHAnsi"/>
        </w:rPr>
        <w:t>ddition to the requirements of S</w:t>
      </w:r>
      <w:r w:rsidRPr="00D37A8E">
        <w:rPr>
          <w:rFonts w:asciiTheme="minorHAnsi" w:hAnsiTheme="minorHAnsi" w:cstheme="minorHAnsi"/>
        </w:rPr>
        <w:t>ection 46</w:t>
      </w:r>
      <w:r w:rsidR="00FA2622" w:rsidRPr="00D37A8E">
        <w:rPr>
          <w:rFonts w:asciiTheme="minorHAnsi" w:hAnsiTheme="minorHAnsi" w:cstheme="minorHAnsi"/>
        </w:rPr>
        <w:t xml:space="preserve"> of the Act</w:t>
      </w:r>
      <w:r w:rsidRPr="00D37A8E">
        <w:rPr>
          <w:rFonts w:asciiTheme="minorHAnsi" w:hAnsiTheme="minorHAnsi" w:cstheme="minorHAnsi"/>
        </w:rPr>
        <w:t xml:space="preserve">, a person may not be registered as a </w:t>
      </w:r>
      <w:r w:rsidR="00CC07D2">
        <w:rPr>
          <w:rFonts w:asciiTheme="minorHAnsi" w:hAnsiTheme="minorHAnsi" w:cstheme="minorHAnsi"/>
        </w:rPr>
        <w:t>credit bureaux</w:t>
      </w:r>
      <w:r w:rsidRPr="00D37A8E">
        <w:rPr>
          <w:rFonts w:asciiTheme="minorHAnsi" w:hAnsiTheme="minorHAnsi" w:cstheme="minorHAnsi"/>
        </w:rPr>
        <w:t xml:space="preserve"> if any person who has a controlling interest in the </w:t>
      </w:r>
      <w:r w:rsidR="00CC07D2">
        <w:rPr>
          <w:rFonts w:asciiTheme="minorHAnsi" w:hAnsiTheme="minorHAnsi" w:cstheme="minorHAnsi"/>
        </w:rPr>
        <w:t>credit bureaux</w:t>
      </w:r>
      <w:r w:rsidRPr="00D37A8E">
        <w:rPr>
          <w:rFonts w:asciiTheme="minorHAnsi" w:hAnsiTheme="minorHAnsi" w:cstheme="minorHAnsi"/>
        </w:rPr>
        <w:t xml:space="preserve"> is:</w:t>
      </w:r>
    </w:p>
    <w:p w:rsidR="00574DAE" w:rsidRPr="00D37A8E" w:rsidRDefault="00574DAE" w:rsidP="00FA262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a credit provider;</w:t>
      </w:r>
    </w:p>
    <w:p w:rsidR="00574DAE" w:rsidRPr="00D37A8E" w:rsidRDefault="00574DAE" w:rsidP="00FA262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 xml:space="preserve">a debt collection agency; </w:t>
      </w:r>
      <w:r w:rsidR="00827702" w:rsidRPr="00D37A8E">
        <w:rPr>
          <w:rFonts w:asciiTheme="minorHAnsi" w:hAnsiTheme="minorHAnsi" w:cstheme="minorHAnsi"/>
        </w:rPr>
        <w:t>or</w:t>
      </w:r>
    </w:p>
    <w:p w:rsidR="00574DAE" w:rsidRPr="00D37A8E" w:rsidRDefault="00574DAE" w:rsidP="00FA262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proofErr w:type="gramStart"/>
      <w:r w:rsidRPr="00D37A8E">
        <w:rPr>
          <w:rFonts w:asciiTheme="minorHAnsi" w:hAnsiTheme="minorHAnsi" w:cstheme="minorHAnsi"/>
        </w:rPr>
        <w:t>a</w:t>
      </w:r>
      <w:proofErr w:type="gramEnd"/>
      <w:r w:rsidRPr="00D37A8E">
        <w:rPr>
          <w:rFonts w:asciiTheme="minorHAnsi" w:hAnsiTheme="minorHAnsi" w:cstheme="minorHAnsi"/>
        </w:rPr>
        <w:t xml:space="preserve"> person who conducts any disqualified business prescribed in terms of subsection (5). </w:t>
      </w:r>
    </w:p>
    <w:p w:rsidR="00574DAE" w:rsidRPr="00D9754A" w:rsidRDefault="00574DAE" w:rsidP="004B497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74DAE" w:rsidRPr="00D9754A" w:rsidRDefault="00A41698" w:rsidP="004B497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Scope of work</w:t>
      </w:r>
    </w:p>
    <w:p w:rsidR="00D37A8E" w:rsidRPr="003B7E1D" w:rsidRDefault="00D37A8E" w:rsidP="00D37A8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t xml:space="preserve">    </w:t>
      </w:r>
      <w:r w:rsidRPr="006767FE">
        <w:t xml:space="preserve">Brief description of the </w:t>
      </w:r>
      <w:r>
        <w:t>applicant</w:t>
      </w:r>
      <w:r w:rsidRPr="006767FE">
        <w:t>’s business model/target market</w:t>
      </w:r>
      <w:r>
        <w:t xml:space="preserve"> (both current and future).</w:t>
      </w:r>
    </w:p>
    <w:p w:rsidR="003B7E1D" w:rsidRPr="00D37A8E" w:rsidRDefault="003B7E1D" w:rsidP="003B7E1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t xml:space="preserve">    Details of information that will be reflected on the consumer’s</w:t>
      </w:r>
      <w:r w:rsidR="00463A77">
        <w:t xml:space="preserve"> credit report</w:t>
      </w:r>
      <w:r>
        <w:t xml:space="preserve"> profile.</w:t>
      </w:r>
    </w:p>
    <w:p w:rsidR="001D3CED" w:rsidRPr="00D9754A" w:rsidRDefault="001D3CED" w:rsidP="001D3CE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 xml:space="preserve">High level </w:t>
      </w:r>
      <w:r w:rsidR="00E03382" w:rsidRPr="00D9754A">
        <w:rPr>
          <w:rFonts w:asciiTheme="minorHAnsi" w:hAnsiTheme="minorHAnsi" w:cstheme="minorHAnsi"/>
        </w:rPr>
        <w:t>o</w:t>
      </w:r>
      <w:r w:rsidR="00953A54">
        <w:rPr>
          <w:rFonts w:asciiTheme="minorHAnsi" w:hAnsiTheme="minorHAnsi" w:cstheme="minorHAnsi"/>
        </w:rPr>
        <w:t>rganogram:</w:t>
      </w:r>
    </w:p>
    <w:p w:rsidR="001D3CED" w:rsidRPr="00D37A8E" w:rsidRDefault="00D37A8E" w:rsidP="001D3CED">
      <w:pPr>
        <w:pStyle w:val="ListParagraph"/>
        <w:numPr>
          <w:ilvl w:val="0"/>
          <w:numId w:val="5"/>
        </w:numPr>
        <w:ind w:left="1134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 xml:space="preserve">company structure both </w:t>
      </w:r>
      <w:r w:rsidR="00E03382" w:rsidRPr="00D37A8E">
        <w:rPr>
          <w:rFonts w:asciiTheme="minorHAnsi" w:hAnsiTheme="minorHAnsi" w:cstheme="minorHAnsi"/>
        </w:rPr>
        <w:t>g</w:t>
      </w:r>
      <w:r w:rsidR="001D3CED" w:rsidRPr="00D37A8E">
        <w:rPr>
          <w:rFonts w:asciiTheme="minorHAnsi" w:hAnsiTheme="minorHAnsi" w:cstheme="minorHAnsi"/>
        </w:rPr>
        <w:t>roup</w:t>
      </w:r>
      <w:r w:rsidRPr="00D37A8E">
        <w:rPr>
          <w:rFonts w:asciiTheme="minorHAnsi" w:hAnsiTheme="minorHAnsi" w:cstheme="minorHAnsi"/>
        </w:rPr>
        <w:t xml:space="preserve"> and subsidiaries;</w:t>
      </w:r>
    </w:p>
    <w:p w:rsidR="001D3CED" w:rsidRPr="00D37A8E" w:rsidRDefault="00E03382" w:rsidP="00D9754A">
      <w:pPr>
        <w:pStyle w:val="ListParagraph"/>
        <w:numPr>
          <w:ilvl w:val="0"/>
          <w:numId w:val="5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D37A8E">
        <w:rPr>
          <w:rFonts w:asciiTheme="minorHAnsi" w:hAnsiTheme="minorHAnsi" w:cstheme="minorHAnsi"/>
        </w:rPr>
        <w:t>operational</w:t>
      </w:r>
      <w:proofErr w:type="gramEnd"/>
      <w:r w:rsidRPr="00D37A8E">
        <w:rPr>
          <w:rFonts w:asciiTheme="minorHAnsi" w:hAnsiTheme="minorHAnsi" w:cstheme="minorHAnsi"/>
        </w:rPr>
        <w:t xml:space="preserve"> o</w:t>
      </w:r>
      <w:r w:rsidR="001D3CED" w:rsidRPr="00D37A8E">
        <w:rPr>
          <w:rFonts w:asciiTheme="minorHAnsi" w:hAnsiTheme="minorHAnsi" w:cstheme="minorHAnsi"/>
        </w:rPr>
        <w:t>rganogram.</w:t>
      </w:r>
    </w:p>
    <w:p w:rsidR="00574DAE" w:rsidRPr="00D37A8E" w:rsidRDefault="00574DAE" w:rsidP="001D3CE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Information of the CEO and 1</w:t>
      </w:r>
      <w:r w:rsidRPr="00D37A8E">
        <w:rPr>
          <w:rFonts w:asciiTheme="minorHAnsi" w:hAnsiTheme="minorHAnsi" w:cstheme="minorHAnsi"/>
          <w:vertAlign w:val="superscript"/>
        </w:rPr>
        <w:t>st</w:t>
      </w:r>
      <w:r w:rsidR="001D3CED" w:rsidRPr="00D37A8E">
        <w:rPr>
          <w:rFonts w:asciiTheme="minorHAnsi" w:hAnsiTheme="minorHAnsi" w:cstheme="minorHAnsi"/>
        </w:rPr>
        <w:t xml:space="preserve"> level of senior m</w:t>
      </w:r>
      <w:r w:rsidR="004F769B">
        <w:rPr>
          <w:rFonts w:asciiTheme="minorHAnsi" w:hAnsiTheme="minorHAnsi" w:cstheme="minorHAnsi"/>
        </w:rPr>
        <w:t>anagement:</w:t>
      </w:r>
    </w:p>
    <w:p w:rsidR="00574DAE" w:rsidRPr="00D37A8E" w:rsidRDefault="001D3CED" w:rsidP="001D3CED">
      <w:pPr>
        <w:pStyle w:val="ListParagraph"/>
        <w:numPr>
          <w:ilvl w:val="0"/>
          <w:numId w:val="6"/>
        </w:numPr>
        <w:ind w:hanging="558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n</w:t>
      </w:r>
      <w:r w:rsidR="00574DAE" w:rsidRPr="00D37A8E">
        <w:rPr>
          <w:rFonts w:asciiTheme="minorHAnsi" w:hAnsiTheme="minorHAnsi" w:cstheme="minorHAnsi"/>
        </w:rPr>
        <w:t xml:space="preserve">ame of employee; </w:t>
      </w:r>
    </w:p>
    <w:p w:rsidR="00574DAE" w:rsidRPr="00D37A8E" w:rsidRDefault="001D3CED" w:rsidP="001D3CED">
      <w:pPr>
        <w:pStyle w:val="ListParagraph"/>
        <w:numPr>
          <w:ilvl w:val="0"/>
          <w:numId w:val="6"/>
        </w:numPr>
        <w:ind w:hanging="558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position in organis</w:t>
      </w:r>
      <w:r w:rsidR="00574DAE" w:rsidRPr="00D37A8E">
        <w:rPr>
          <w:rFonts w:asciiTheme="minorHAnsi" w:hAnsiTheme="minorHAnsi" w:cstheme="minorHAnsi"/>
        </w:rPr>
        <w:t>ation;</w:t>
      </w:r>
    </w:p>
    <w:p w:rsidR="00574DAE" w:rsidRPr="00D37A8E" w:rsidRDefault="001D3CED" w:rsidP="001D3CED">
      <w:pPr>
        <w:pStyle w:val="ListParagraph"/>
        <w:numPr>
          <w:ilvl w:val="0"/>
          <w:numId w:val="6"/>
        </w:numPr>
        <w:ind w:hanging="558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q</w:t>
      </w:r>
      <w:r w:rsidR="00574DAE" w:rsidRPr="00D37A8E">
        <w:rPr>
          <w:rFonts w:asciiTheme="minorHAnsi" w:hAnsiTheme="minorHAnsi" w:cstheme="minorHAnsi"/>
        </w:rPr>
        <w:t xml:space="preserve">ualifications; </w:t>
      </w:r>
    </w:p>
    <w:p w:rsidR="00574DAE" w:rsidRPr="00D37A8E" w:rsidRDefault="001D3CED" w:rsidP="001D3CED">
      <w:pPr>
        <w:pStyle w:val="ListParagraph"/>
        <w:numPr>
          <w:ilvl w:val="0"/>
          <w:numId w:val="6"/>
        </w:numPr>
        <w:ind w:hanging="558"/>
        <w:jc w:val="both"/>
        <w:rPr>
          <w:rFonts w:asciiTheme="minorHAnsi" w:hAnsiTheme="minorHAnsi" w:cstheme="minorHAnsi"/>
        </w:rPr>
      </w:pPr>
      <w:r w:rsidRPr="00D37A8E">
        <w:rPr>
          <w:rFonts w:asciiTheme="minorHAnsi" w:hAnsiTheme="minorHAnsi" w:cstheme="minorHAnsi"/>
        </w:rPr>
        <w:t>e</w:t>
      </w:r>
      <w:r w:rsidR="00574DAE" w:rsidRPr="00D37A8E">
        <w:rPr>
          <w:rFonts w:asciiTheme="minorHAnsi" w:hAnsiTheme="minorHAnsi" w:cstheme="minorHAnsi"/>
        </w:rPr>
        <w:t>xperience (number of months, years in current role and similar role</w:t>
      </w:r>
      <w:r w:rsidRPr="00D37A8E">
        <w:rPr>
          <w:rFonts w:asciiTheme="minorHAnsi" w:hAnsiTheme="minorHAnsi" w:cstheme="minorHAnsi"/>
        </w:rPr>
        <w:t>s</w:t>
      </w:r>
      <w:r w:rsidR="00574DAE" w:rsidRPr="00D37A8E">
        <w:rPr>
          <w:rFonts w:asciiTheme="minorHAnsi" w:hAnsiTheme="minorHAnsi" w:cstheme="minorHAnsi"/>
        </w:rPr>
        <w:t xml:space="preserve">); </w:t>
      </w:r>
    </w:p>
    <w:p w:rsidR="001D3CED" w:rsidRPr="00D37A8E" w:rsidRDefault="001D3CED" w:rsidP="00D9754A">
      <w:pPr>
        <w:pStyle w:val="ListParagraph"/>
        <w:numPr>
          <w:ilvl w:val="0"/>
          <w:numId w:val="6"/>
        </w:numPr>
        <w:ind w:hanging="558"/>
        <w:jc w:val="both"/>
        <w:rPr>
          <w:rFonts w:asciiTheme="minorHAnsi" w:hAnsiTheme="minorHAnsi" w:cstheme="minorHAnsi"/>
        </w:rPr>
      </w:pPr>
      <w:proofErr w:type="gramStart"/>
      <w:r w:rsidRPr="00D37A8E">
        <w:rPr>
          <w:rFonts w:asciiTheme="minorHAnsi" w:hAnsiTheme="minorHAnsi" w:cstheme="minorHAnsi"/>
        </w:rPr>
        <w:t>b</w:t>
      </w:r>
      <w:r w:rsidR="00574DAE" w:rsidRPr="00D37A8E">
        <w:rPr>
          <w:rFonts w:asciiTheme="minorHAnsi" w:hAnsiTheme="minorHAnsi" w:cstheme="minorHAnsi"/>
        </w:rPr>
        <w:t>ureau</w:t>
      </w:r>
      <w:proofErr w:type="gramEnd"/>
      <w:r w:rsidR="00574DAE" w:rsidRPr="00D37A8E">
        <w:rPr>
          <w:rFonts w:asciiTheme="minorHAnsi" w:hAnsiTheme="minorHAnsi" w:cstheme="minorHAnsi"/>
        </w:rPr>
        <w:t xml:space="preserve"> related experi</w:t>
      </w:r>
      <w:r w:rsidR="00E03382" w:rsidRPr="00D37A8E">
        <w:rPr>
          <w:rFonts w:asciiTheme="minorHAnsi" w:hAnsiTheme="minorHAnsi" w:cstheme="minorHAnsi"/>
        </w:rPr>
        <w:t>ence (IT/Operations/Compliance).</w:t>
      </w:r>
    </w:p>
    <w:p w:rsidR="00574DAE" w:rsidRPr="00C20F95" w:rsidRDefault="00574DAE" w:rsidP="001D3CE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C20F95">
        <w:rPr>
          <w:rFonts w:asciiTheme="minorHAnsi" w:hAnsiTheme="minorHAnsi" w:cstheme="minorHAnsi"/>
        </w:rPr>
        <w:t xml:space="preserve">Shareholding </w:t>
      </w:r>
      <w:r w:rsidR="00C20F95" w:rsidRPr="00C20F95">
        <w:rPr>
          <w:rFonts w:asciiTheme="minorHAnsi" w:hAnsiTheme="minorHAnsi" w:cstheme="minorHAnsi"/>
        </w:rPr>
        <w:t>information:</w:t>
      </w:r>
      <w:r w:rsidRPr="00C20F95">
        <w:rPr>
          <w:rFonts w:asciiTheme="minorHAnsi" w:hAnsiTheme="minorHAnsi" w:cstheme="minorHAnsi"/>
        </w:rPr>
        <w:t xml:space="preserve"> </w:t>
      </w:r>
    </w:p>
    <w:p w:rsidR="00574DAE" w:rsidRPr="00C20F95" w:rsidRDefault="00E03382" w:rsidP="001D3CED">
      <w:pPr>
        <w:pStyle w:val="ListParagraph"/>
        <w:numPr>
          <w:ilvl w:val="0"/>
          <w:numId w:val="7"/>
        </w:numPr>
        <w:ind w:left="1134" w:hanging="567"/>
        <w:jc w:val="both"/>
        <w:rPr>
          <w:rFonts w:asciiTheme="minorHAnsi" w:hAnsiTheme="minorHAnsi" w:cstheme="minorHAnsi"/>
        </w:rPr>
      </w:pPr>
      <w:r w:rsidRPr="00C20F95">
        <w:rPr>
          <w:rFonts w:asciiTheme="minorHAnsi" w:hAnsiTheme="minorHAnsi" w:cstheme="minorHAnsi"/>
        </w:rPr>
        <w:t>d</w:t>
      </w:r>
      <w:r w:rsidR="001D3CED" w:rsidRPr="00C20F95">
        <w:rPr>
          <w:rFonts w:asciiTheme="minorHAnsi" w:hAnsiTheme="minorHAnsi" w:cstheme="minorHAnsi"/>
        </w:rPr>
        <w:t>eclaration of interest</w:t>
      </w:r>
      <w:r w:rsidR="00574DAE" w:rsidRPr="00C20F95">
        <w:rPr>
          <w:rFonts w:asciiTheme="minorHAnsi" w:hAnsiTheme="minorHAnsi" w:cstheme="minorHAnsi"/>
        </w:rPr>
        <w:t xml:space="preserve"> </w:t>
      </w:r>
      <w:r w:rsidR="00C20F95" w:rsidRPr="00C20F95">
        <w:rPr>
          <w:rFonts w:asciiTheme="minorHAnsi" w:hAnsiTheme="minorHAnsi" w:cstheme="minorHAnsi"/>
        </w:rPr>
        <w:t xml:space="preserve">by management, directors (executive and non-executive) and </w:t>
      </w:r>
      <w:r w:rsidR="00574DAE" w:rsidRPr="00C20F95">
        <w:rPr>
          <w:rFonts w:asciiTheme="minorHAnsi" w:hAnsiTheme="minorHAnsi" w:cstheme="minorHAnsi"/>
        </w:rPr>
        <w:t xml:space="preserve"> shareholders</w:t>
      </w:r>
      <w:r w:rsidR="001D3CED" w:rsidRPr="00C20F95">
        <w:rPr>
          <w:rFonts w:asciiTheme="minorHAnsi" w:hAnsiTheme="minorHAnsi" w:cstheme="minorHAnsi"/>
        </w:rPr>
        <w:t>;</w:t>
      </w:r>
    </w:p>
    <w:p w:rsidR="00574DAE" w:rsidRPr="00C20F95" w:rsidRDefault="00E03382" w:rsidP="001D3CED">
      <w:pPr>
        <w:pStyle w:val="ListParagraph"/>
        <w:numPr>
          <w:ilvl w:val="0"/>
          <w:numId w:val="7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C20F95">
        <w:rPr>
          <w:rFonts w:asciiTheme="minorHAnsi" w:hAnsiTheme="minorHAnsi" w:cstheme="minorHAnsi"/>
        </w:rPr>
        <w:lastRenderedPageBreak/>
        <w:t>t</w:t>
      </w:r>
      <w:r w:rsidR="00574DAE" w:rsidRPr="00C20F95">
        <w:rPr>
          <w:rFonts w:asciiTheme="minorHAnsi" w:hAnsiTheme="minorHAnsi" w:cstheme="minorHAnsi"/>
        </w:rPr>
        <w:t>he</w:t>
      </w:r>
      <w:proofErr w:type="gramEnd"/>
      <w:r w:rsidR="00574DAE" w:rsidRPr="00C20F95">
        <w:rPr>
          <w:rFonts w:asciiTheme="minorHAnsi" w:hAnsiTheme="minorHAnsi" w:cstheme="minorHAnsi"/>
        </w:rPr>
        <w:t xml:space="preserve"> auditor will </w:t>
      </w:r>
      <w:r w:rsidR="00C20F95" w:rsidRPr="00C20F95">
        <w:rPr>
          <w:rFonts w:asciiTheme="minorHAnsi" w:hAnsiTheme="minorHAnsi" w:cstheme="minorHAnsi"/>
        </w:rPr>
        <w:t xml:space="preserve">perform a due diligence on management, directors and shareholders. </w:t>
      </w:r>
    </w:p>
    <w:p w:rsidR="001D3CED" w:rsidRPr="00D9754A" w:rsidRDefault="001D3CED" w:rsidP="001D3CED">
      <w:pPr>
        <w:pStyle w:val="ListParagraph"/>
        <w:ind w:left="1134"/>
        <w:jc w:val="both"/>
        <w:rPr>
          <w:rFonts w:asciiTheme="minorHAnsi" w:hAnsiTheme="minorHAnsi" w:cstheme="minorHAnsi"/>
        </w:rPr>
      </w:pPr>
    </w:p>
    <w:p w:rsidR="00574DAE" w:rsidRPr="00DE5509" w:rsidRDefault="00574DAE" w:rsidP="001D3CE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E5509">
        <w:rPr>
          <w:rFonts w:asciiTheme="minorHAnsi" w:hAnsiTheme="minorHAnsi" w:cstheme="minorHAnsi"/>
        </w:rPr>
        <w:t>Key contractors/</w:t>
      </w:r>
      <w:r w:rsidR="001D3CED" w:rsidRPr="00DE5509">
        <w:rPr>
          <w:rFonts w:asciiTheme="minorHAnsi" w:hAnsiTheme="minorHAnsi" w:cstheme="minorHAnsi"/>
        </w:rPr>
        <w:t>o</w:t>
      </w:r>
      <w:r w:rsidRPr="00DE5509">
        <w:rPr>
          <w:rFonts w:asciiTheme="minorHAnsi" w:hAnsiTheme="minorHAnsi" w:cstheme="minorHAnsi"/>
        </w:rPr>
        <w:t xml:space="preserve">utsourced service providers of the </w:t>
      </w:r>
      <w:r w:rsidR="007B5D34" w:rsidRPr="00DE5509">
        <w:rPr>
          <w:rFonts w:asciiTheme="minorHAnsi" w:hAnsiTheme="minorHAnsi" w:cstheme="minorHAnsi"/>
        </w:rPr>
        <w:t>applicant</w:t>
      </w:r>
      <w:r w:rsidRPr="00DE5509">
        <w:rPr>
          <w:rFonts w:asciiTheme="minorHAnsi" w:hAnsiTheme="minorHAnsi" w:cstheme="minorHAnsi"/>
        </w:rPr>
        <w:t>;</w:t>
      </w:r>
    </w:p>
    <w:p w:rsidR="00574DAE" w:rsidRPr="00DE5509" w:rsidRDefault="00E03382" w:rsidP="001D3CED">
      <w:pPr>
        <w:pStyle w:val="ListParagraph"/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</w:rPr>
      </w:pPr>
      <w:r w:rsidRPr="00DE5509">
        <w:rPr>
          <w:rFonts w:asciiTheme="minorHAnsi" w:hAnsiTheme="minorHAnsi" w:cstheme="minorHAnsi"/>
        </w:rPr>
        <w:t>s</w:t>
      </w:r>
      <w:r w:rsidR="00574DAE" w:rsidRPr="00DE5509">
        <w:rPr>
          <w:rFonts w:asciiTheme="minorHAnsi" w:hAnsiTheme="minorHAnsi" w:cstheme="minorHAnsi"/>
        </w:rPr>
        <w:t>igned contracts which stipu</w:t>
      </w:r>
      <w:r w:rsidRPr="00DE5509">
        <w:rPr>
          <w:rFonts w:asciiTheme="minorHAnsi" w:hAnsiTheme="minorHAnsi" w:cstheme="minorHAnsi"/>
        </w:rPr>
        <w:t>late terms and conditions e.g.</w:t>
      </w:r>
      <w:r w:rsidR="001D3CED" w:rsidRPr="00DE5509">
        <w:rPr>
          <w:rFonts w:asciiTheme="minorHAnsi" w:hAnsiTheme="minorHAnsi" w:cstheme="minorHAnsi"/>
        </w:rPr>
        <w:t xml:space="preserve"> a</w:t>
      </w:r>
      <w:r w:rsidR="00574DAE" w:rsidRPr="00DE5509">
        <w:rPr>
          <w:rFonts w:asciiTheme="minorHAnsi" w:hAnsiTheme="minorHAnsi" w:cstheme="minorHAnsi"/>
        </w:rPr>
        <w:t xml:space="preserve">gency agreements; </w:t>
      </w:r>
    </w:p>
    <w:p w:rsidR="00574DAE" w:rsidRPr="00DE5509" w:rsidRDefault="00C20F95" w:rsidP="001D3CED">
      <w:pPr>
        <w:pStyle w:val="ListParagraph"/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</w:rPr>
      </w:pPr>
      <w:r w:rsidRPr="00DE5509">
        <w:rPr>
          <w:rFonts w:asciiTheme="minorHAnsi" w:hAnsiTheme="minorHAnsi" w:cstheme="minorHAnsi"/>
        </w:rPr>
        <w:t>auditors to complete a due diligence on all contractual agreements and repor</w:t>
      </w:r>
      <w:r w:rsidR="004F769B">
        <w:rPr>
          <w:rFonts w:asciiTheme="minorHAnsi" w:hAnsiTheme="minorHAnsi" w:cstheme="minorHAnsi"/>
        </w:rPr>
        <w:t>t to the NCR on their findings;</w:t>
      </w:r>
      <w:r w:rsidR="00574DAE" w:rsidRPr="00DE5509">
        <w:rPr>
          <w:rFonts w:asciiTheme="minorHAnsi" w:hAnsiTheme="minorHAnsi" w:cstheme="minorHAnsi"/>
        </w:rPr>
        <w:t xml:space="preserve"> </w:t>
      </w:r>
    </w:p>
    <w:p w:rsidR="00E03382" w:rsidRDefault="00E03382" w:rsidP="00D9754A">
      <w:pPr>
        <w:pStyle w:val="ListParagraph"/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DE5509">
        <w:rPr>
          <w:rFonts w:asciiTheme="minorHAnsi" w:hAnsiTheme="minorHAnsi" w:cstheme="minorHAnsi"/>
        </w:rPr>
        <w:t>s</w:t>
      </w:r>
      <w:r w:rsidR="00574DAE" w:rsidRPr="00DE5509">
        <w:rPr>
          <w:rFonts w:asciiTheme="minorHAnsi" w:hAnsiTheme="minorHAnsi" w:cstheme="minorHAnsi"/>
        </w:rPr>
        <w:t>hould</w:t>
      </w:r>
      <w:proofErr w:type="gramEnd"/>
      <w:r w:rsidR="00574DAE" w:rsidRPr="00DE5509">
        <w:rPr>
          <w:rFonts w:asciiTheme="minorHAnsi" w:hAnsiTheme="minorHAnsi" w:cstheme="minorHAnsi"/>
        </w:rPr>
        <w:t xml:space="preserve"> contracts not be signed as yet a report from </w:t>
      </w:r>
      <w:r w:rsidRPr="00DE5509">
        <w:rPr>
          <w:rFonts w:asciiTheme="minorHAnsi" w:hAnsiTheme="minorHAnsi" w:cstheme="minorHAnsi"/>
        </w:rPr>
        <w:t>the a</w:t>
      </w:r>
      <w:r w:rsidR="00574DAE" w:rsidRPr="00DE5509">
        <w:rPr>
          <w:rFonts w:asciiTheme="minorHAnsi" w:hAnsiTheme="minorHAnsi" w:cstheme="minorHAnsi"/>
        </w:rPr>
        <w:t>uditors should indicate the potential contractors which the company wish to enter into agreements with.</w:t>
      </w:r>
      <w:r w:rsidRPr="00DE5509">
        <w:rPr>
          <w:rFonts w:asciiTheme="minorHAnsi" w:hAnsiTheme="minorHAnsi" w:cstheme="minorHAnsi"/>
        </w:rPr>
        <w:t xml:space="preserve"> </w:t>
      </w:r>
      <w:r w:rsidR="00574DAE" w:rsidRPr="00DE5509">
        <w:rPr>
          <w:rFonts w:asciiTheme="minorHAnsi" w:hAnsiTheme="minorHAnsi" w:cstheme="minorHAnsi"/>
        </w:rPr>
        <w:t xml:space="preserve"> </w:t>
      </w:r>
      <w:r w:rsidRPr="00DE5509">
        <w:rPr>
          <w:rFonts w:asciiTheme="minorHAnsi" w:hAnsiTheme="minorHAnsi" w:cstheme="minorHAnsi"/>
        </w:rPr>
        <w:t xml:space="preserve">The </w:t>
      </w:r>
      <w:r w:rsidR="00574DAE" w:rsidRPr="00DE5509">
        <w:rPr>
          <w:rFonts w:asciiTheme="minorHAnsi" w:hAnsiTheme="minorHAnsi" w:cstheme="minorHAnsi"/>
        </w:rPr>
        <w:t>CEO of</w:t>
      </w:r>
      <w:r w:rsidRPr="00DE5509">
        <w:rPr>
          <w:rFonts w:asciiTheme="minorHAnsi" w:hAnsiTheme="minorHAnsi" w:cstheme="minorHAnsi"/>
        </w:rPr>
        <w:t xml:space="preserve"> the</w:t>
      </w:r>
      <w:r w:rsidR="00574DAE" w:rsidRPr="00DE5509">
        <w:rPr>
          <w:rFonts w:asciiTheme="minorHAnsi" w:hAnsiTheme="minorHAnsi" w:cstheme="minorHAnsi"/>
        </w:rPr>
        <w:t xml:space="preserve"> company has to notify NCR once th</w:t>
      </w:r>
      <w:r w:rsidRPr="00DE5509">
        <w:rPr>
          <w:rFonts w:asciiTheme="minorHAnsi" w:hAnsiTheme="minorHAnsi" w:cstheme="minorHAnsi"/>
        </w:rPr>
        <w:t>ese agreements have been final</w:t>
      </w:r>
      <w:r w:rsidR="004F769B">
        <w:rPr>
          <w:rFonts w:asciiTheme="minorHAnsi" w:hAnsiTheme="minorHAnsi" w:cstheme="minorHAnsi"/>
        </w:rPr>
        <w:t>ised and provide copies thereof;</w:t>
      </w:r>
    </w:p>
    <w:p w:rsidR="007B5D34" w:rsidRPr="006F4185" w:rsidRDefault="005C1DEB" w:rsidP="006F4185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F4185">
        <w:rPr>
          <w:rFonts w:asciiTheme="minorHAnsi" w:hAnsiTheme="minorHAnsi" w:cstheme="minorHAnsi"/>
        </w:rPr>
        <w:t xml:space="preserve"> </w:t>
      </w:r>
      <w:proofErr w:type="gramStart"/>
      <w:r w:rsidRPr="006F4185">
        <w:rPr>
          <w:rFonts w:asciiTheme="minorHAnsi" w:hAnsiTheme="minorHAnsi" w:cstheme="minorHAnsi"/>
        </w:rPr>
        <w:t>copies</w:t>
      </w:r>
      <w:proofErr w:type="gramEnd"/>
      <w:r w:rsidRPr="006F4185">
        <w:rPr>
          <w:rFonts w:asciiTheme="minorHAnsi" w:hAnsiTheme="minorHAnsi" w:cstheme="minorHAnsi"/>
        </w:rPr>
        <w:t xml:space="preserve"> of business prospectus to be submitted.</w:t>
      </w:r>
    </w:p>
    <w:p w:rsidR="005C1DEB" w:rsidRPr="005C1DEB" w:rsidRDefault="005C1DEB" w:rsidP="005C1DEB">
      <w:pPr>
        <w:pStyle w:val="ListParagraph"/>
        <w:ind w:left="567"/>
        <w:jc w:val="both"/>
        <w:rPr>
          <w:rFonts w:asciiTheme="minorHAnsi" w:hAnsiTheme="minorHAnsi" w:cstheme="minorHAnsi"/>
        </w:rPr>
      </w:pPr>
    </w:p>
    <w:p w:rsidR="00574DAE" w:rsidRPr="00D9754A" w:rsidRDefault="008273E0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</w:t>
      </w:r>
      <w:r w:rsidR="00574DAE" w:rsidRPr="00D9754A">
        <w:rPr>
          <w:rFonts w:asciiTheme="minorHAnsi" w:hAnsiTheme="minorHAnsi" w:cstheme="minorHAnsi"/>
        </w:rPr>
        <w:t>opies of</w:t>
      </w:r>
      <w:r w:rsidR="00E03382" w:rsidRPr="00D9754A">
        <w:rPr>
          <w:rFonts w:asciiTheme="minorHAnsi" w:hAnsiTheme="minorHAnsi" w:cstheme="minorHAnsi"/>
        </w:rPr>
        <w:t xml:space="preserve"> the HR policies and procedures:</w:t>
      </w:r>
    </w:p>
    <w:p w:rsidR="000A692C" w:rsidRPr="004C5989" w:rsidRDefault="000A692C" w:rsidP="00E03382">
      <w:pPr>
        <w:pStyle w:val="ListParagraph"/>
        <w:numPr>
          <w:ilvl w:val="0"/>
          <w:numId w:val="9"/>
        </w:numPr>
        <w:ind w:left="1134" w:hanging="567"/>
        <w:jc w:val="both"/>
        <w:rPr>
          <w:rFonts w:asciiTheme="minorHAnsi" w:hAnsiTheme="minorHAnsi" w:cstheme="minorHAnsi"/>
        </w:rPr>
      </w:pPr>
      <w:r w:rsidRPr="004C5989">
        <w:rPr>
          <w:rFonts w:asciiTheme="minorHAnsi" w:hAnsiTheme="minorHAnsi" w:cstheme="minorHAnsi"/>
        </w:rPr>
        <w:t xml:space="preserve">line management infrastructure; </w:t>
      </w:r>
    </w:p>
    <w:p w:rsidR="000A692C" w:rsidRPr="004C5989" w:rsidRDefault="00B5285F" w:rsidP="00E03382">
      <w:pPr>
        <w:pStyle w:val="ListParagraph"/>
        <w:numPr>
          <w:ilvl w:val="0"/>
          <w:numId w:val="9"/>
        </w:numPr>
        <w:ind w:left="1134" w:hanging="567"/>
        <w:jc w:val="both"/>
        <w:rPr>
          <w:rFonts w:asciiTheme="minorHAnsi" w:hAnsiTheme="minorHAnsi" w:cstheme="minorHAnsi"/>
        </w:rPr>
      </w:pPr>
      <w:r w:rsidRPr="004C5989">
        <w:rPr>
          <w:rFonts w:asciiTheme="minorHAnsi" w:hAnsiTheme="minorHAnsi" w:cstheme="minorHAnsi"/>
        </w:rPr>
        <w:t>a</w:t>
      </w:r>
      <w:r w:rsidR="000A692C" w:rsidRPr="004C5989">
        <w:rPr>
          <w:rFonts w:asciiTheme="minorHAnsi" w:hAnsiTheme="minorHAnsi" w:cstheme="minorHAnsi"/>
        </w:rPr>
        <w:t>ccess controls for staff</w:t>
      </w:r>
      <w:r w:rsidR="004F769B">
        <w:rPr>
          <w:rFonts w:asciiTheme="minorHAnsi" w:hAnsiTheme="minorHAnsi" w:cstheme="minorHAnsi"/>
        </w:rPr>
        <w:t>;</w:t>
      </w:r>
    </w:p>
    <w:p w:rsidR="000A692C" w:rsidRDefault="00574DAE" w:rsidP="00E03382">
      <w:pPr>
        <w:pStyle w:val="ListParagraph"/>
        <w:numPr>
          <w:ilvl w:val="0"/>
          <w:numId w:val="9"/>
        </w:numPr>
        <w:ind w:left="1134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 xml:space="preserve">code of conduct </w:t>
      </w:r>
      <w:r w:rsidR="000A692C">
        <w:rPr>
          <w:rFonts w:asciiTheme="minorHAnsi" w:hAnsiTheme="minorHAnsi" w:cstheme="minorHAnsi"/>
        </w:rPr>
        <w:t>in terms of IT personnel</w:t>
      </w:r>
      <w:r w:rsidR="004F769B">
        <w:rPr>
          <w:rFonts w:asciiTheme="minorHAnsi" w:hAnsiTheme="minorHAnsi" w:cstheme="minorHAnsi"/>
        </w:rPr>
        <w:t>;</w:t>
      </w:r>
    </w:p>
    <w:p w:rsidR="00E03382" w:rsidRPr="00D9754A" w:rsidRDefault="004F769B" w:rsidP="00D9754A">
      <w:pPr>
        <w:pStyle w:val="ListParagraph"/>
        <w:numPr>
          <w:ilvl w:val="0"/>
          <w:numId w:val="9"/>
        </w:numPr>
        <w:ind w:left="1134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Confidentiality</w:t>
      </w:r>
      <w:r w:rsidR="00E03382" w:rsidRPr="00D9754A">
        <w:rPr>
          <w:rFonts w:asciiTheme="minorHAnsi" w:hAnsiTheme="minorHAnsi" w:cstheme="minorHAnsi"/>
        </w:rPr>
        <w:t xml:space="preserve"> agreements </w:t>
      </w:r>
      <w:r w:rsidR="00E03382" w:rsidRPr="000A692C">
        <w:rPr>
          <w:rFonts w:asciiTheme="minorHAnsi" w:hAnsiTheme="minorHAnsi" w:cstheme="minorHAnsi"/>
        </w:rPr>
        <w:t>in relation to data, to which staff</w:t>
      </w:r>
      <w:r w:rsidR="00E03382" w:rsidRPr="00D9754A">
        <w:rPr>
          <w:rFonts w:asciiTheme="minorHAnsi" w:hAnsiTheme="minorHAnsi" w:cstheme="minorHAnsi"/>
        </w:rPr>
        <w:t xml:space="preserve"> have access.</w:t>
      </w:r>
    </w:p>
    <w:p w:rsidR="000554CF" w:rsidRPr="00D9754A" w:rsidRDefault="000554CF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 the training budget.</w:t>
      </w:r>
    </w:p>
    <w:p w:rsidR="000554CF" w:rsidRPr="00D9754A" w:rsidRDefault="00574DAE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 the latest external audit management letter</w:t>
      </w:r>
      <w:r w:rsidR="00E03382" w:rsidRPr="00D9754A">
        <w:rPr>
          <w:rFonts w:asciiTheme="minorHAnsi" w:hAnsiTheme="minorHAnsi" w:cstheme="minorHAnsi"/>
        </w:rPr>
        <w:t xml:space="preserve"> </w:t>
      </w:r>
      <w:r w:rsidR="000554CF" w:rsidRPr="00D9754A">
        <w:rPr>
          <w:rFonts w:asciiTheme="minorHAnsi" w:hAnsiTheme="minorHAnsi" w:cstheme="minorHAnsi"/>
        </w:rPr>
        <w:t>(if applicable).</w:t>
      </w:r>
    </w:p>
    <w:p w:rsidR="00574DAE" w:rsidRPr="00D9754A" w:rsidRDefault="00574DAE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 xml:space="preserve">Copy of the latest internal audit submission to the main audit </w:t>
      </w:r>
      <w:r w:rsidR="00E03382" w:rsidRPr="00D9754A">
        <w:rPr>
          <w:rFonts w:asciiTheme="minorHAnsi" w:hAnsiTheme="minorHAnsi" w:cstheme="minorHAnsi"/>
        </w:rPr>
        <w:t>c</w:t>
      </w:r>
      <w:r w:rsidRPr="00D9754A">
        <w:rPr>
          <w:rFonts w:asciiTheme="minorHAnsi" w:hAnsiTheme="minorHAnsi" w:cstheme="minorHAnsi"/>
        </w:rPr>
        <w:t>ommittee (if applicable);</w:t>
      </w:r>
    </w:p>
    <w:p w:rsidR="000A692C" w:rsidRPr="009D2C97" w:rsidRDefault="000A692C" w:rsidP="000A692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9D2C97">
        <w:rPr>
          <w:rFonts w:asciiTheme="minorHAnsi" w:hAnsiTheme="minorHAnsi" w:cstheme="minorHAnsi"/>
        </w:rPr>
        <w:t>Board approval of a compliance risk or internal audit officer;</w:t>
      </w:r>
    </w:p>
    <w:p w:rsidR="00574DAE" w:rsidRPr="00D9754A" w:rsidRDefault="00574DAE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</w:t>
      </w:r>
      <w:r w:rsidR="000554CF" w:rsidRPr="00D9754A">
        <w:rPr>
          <w:rFonts w:asciiTheme="minorHAnsi" w:hAnsiTheme="minorHAnsi" w:cstheme="minorHAnsi"/>
        </w:rPr>
        <w:t xml:space="preserve"> the latest management accounts.</w:t>
      </w:r>
    </w:p>
    <w:p w:rsidR="00574DAE" w:rsidRPr="00D9754A" w:rsidRDefault="00574DAE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 the late</w:t>
      </w:r>
      <w:r w:rsidR="000554CF" w:rsidRPr="00D9754A">
        <w:rPr>
          <w:rFonts w:asciiTheme="minorHAnsi" w:hAnsiTheme="minorHAnsi" w:cstheme="minorHAnsi"/>
        </w:rPr>
        <w:t xml:space="preserve">st </w:t>
      </w:r>
      <w:r w:rsidR="009D2C97">
        <w:rPr>
          <w:rFonts w:asciiTheme="minorHAnsi" w:hAnsiTheme="minorHAnsi" w:cstheme="minorHAnsi"/>
        </w:rPr>
        <w:t xml:space="preserve">signed </w:t>
      </w:r>
      <w:r w:rsidR="000554CF" w:rsidRPr="00D9754A">
        <w:rPr>
          <w:rFonts w:asciiTheme="minorHAnsi" w:hAnsiTheme="minorHAnsi" w:cstheme="minorHAnsi"/>
        </w:rPr>
        <w:t>audited financial statements.</w:t>
      </w:r>
    </w:p>
    <w:p w:rsidR="00574DAE" w:rsidRPr="00D9754A" w:rsidRDefault="00E03382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 xml:space="preserve">Copy of any </w:t>
      </w:r>
      <w:r w:rsidRPr="009D2C97">
        <w:rPr>
          <w:rFonts w:asciiTheme="minorHAnsi" w:hAnsiTheme="minorHAnsi" w:cstheme="minorHAnsi"/>
        </w:rPr>
        <w:t>due d</w:t>
      </w:r>
      <w:r w:rsidR="00574DAE" w:rsidRPr="009D2C97">
        <w:rPr>
          <w:rFonts w:asciiTheme="minorHAnsi" w:hAnsiTheme="minorHAnsi" w:cstheme="minorHAnsi"/>
        </w:rPr>
        <w:t>iligence/</w:t>
      </w:r>
      <w:r w:rsidRPr="009D2C97">
        <w:rPr>
          <w:rFonts w:asciiTheme="minorHAnsi" w:hAnsiTheme="minorHAnsi" w:cstheme="minorHAnsi"/>
        </w:rPr>
        <w:t>l</w:t>
      </w:r>
      <w:r w:rsidR="00574DAE" w:rsidRPr="009D2C97">
        <w:rPr>
          <w:rFonts w:asciiTheme="minorHAnsi" w:hAnsiTheme="minorHAnsi" w:cstheme="minorHAnsi"/>
        </w:rPr>
        <w:t xml:space="preserve">imited assurance report by external parties that was issued </w:t>
      </w:r>
      <w:r w:rsidRPr="009D2C97">
        <w:rPr>
          <w:rFonts w:asciiTheme="minorHAnsi" w:hAnsiTheme="minorHAnsi" w:cstheme="minorHAnsi"/>
        </w:rPr>
        <w:t>during the</w:t>
      </w:r>
      <w:r w:rsidRPr="00D9754A">
        <w:rPr>
          <w:rFonts w:asciiTheme="minorHAnsi" w:hAnsiTheme="minorHAnsi" w:cstheme="minorHAnsi"/>
        </w:rPr>
        <w:t xml:space="preserve"> </w:t>
      </w:r>
      <w:r w:rsidR="000554CF" w:rsidRPr="00D9754A">
        <w:rPr>
          <w:rFonts w:asciiTheme="minorHAnsi" w:hAnsiTheme="minorHAnsi" w:cstheme="minorHAnsi"/>
        </w:rPr>
        <w:t>past 12 months (if applicable).</w:t>
      </w:r>
    </w:p>
    <w:p w:rsidR="00574DAE" w:rsidRPr="009D2C97" w:rsidRDefault="009D2C97" w:rsidP="00E0338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D2C97">
        <w:rPr>
          <w:rFonts w:asciiTheme="minorHAnsi" w:hAnsiTheme="minorHAnsi" w:cstheme="minorHAnsi"/>
        </w:rPr>
        <w:t>Copies of documented policies and procedures with process mapping of the dat</w:t>
      </w:r>
      <w:r w:rsidR="004F769B">
        <w:rPr>
          <w:rFonts w:asciiTheme="minorHAnsi" w:hAnsiTheme="minorHAnsi" w:cstheme="minorHAnsi"/>
        </w:rPr>
        <w:t>a inclusive of amendments to NC</w:t>
      </w:r>
      <w:r w:rsidR="003C75CB">
        <w:rPr>
          <w:rFonts w:asciiTheme="minorHAnsi" w:hAnsiTheme="minorHAnsi" w:cstheme="minorHAnsi"/>
        </w:rPr>
        <w:t>A</w:t>
      </w:r>
      <w:r w:rsidRPr="009D2C97">
        <w:rPr>
          <w:rFonts w:asciiTheme="minorHAnsi" w:hAnsiTheme="minorHAnsi" w:cstheme="minorHAnsi"/>
        </w:rPr>
        <w:t xml:space="preserve"> and review dates of said policies and procedures with regards to the following:</w:t>
      </w:r>
    </w:p>
    <w:p w:rsidR="00574DAE" w:rsidRPr="009D2C97" w:rsidRDefault="000554CF" w:rsidP="00E03382">
      <w:pPr>
        <w:pStyle w:val="ListParagraph"/>
        <w:numPr>
          <w:ilvl w:val="0"/>
          <w:numId w:val="10"/>
        </w:numPr>
        <w:ind w:left="1134" w:hanging="567"/>
        <w:jc w:val="both"/>
        <w:rPr>
          <w:rFonts w:asciiTheme="minorHAnsi" w:hAnsiTheme="minorHAnsi" w:cstheme="minorHAnsi"/>
        </w:rPr>
      </w:pPr>
      <w:r w:rsidRPr="009D2C97">
        <w:rPr>
          <w:rFonts w:asciiTheme="minorHAnsi" w:hAnsiTheme="minorHAnsi" w:cstheme="minorHAnsi"/>
        </w:rPr>
        <w:t>a</w:t>
      </w:r>
      <w:r w:rsidR="00574DAE" w:rsidRPr="009D2C97">
        <w:rPr>
          <w:rFonts w:asciiTheme="minorHAnsi" w:hAnsiTheme="minorHAnsi" w:cstheme="minorHAnsi"/>
        </w:rPr>
        <w:t>cceptance of filing of consumer credit information;</w:t>
      </w:r>
    </w:p>
    <w:p w:rsidR="00574DAE" w:rsidRPr="009D2C97" w:rsidRDefault="000554CF" w:rsidP="00E03382">
      <w:pPr>
        <w:pStyle w:val="ListParagraph"/>
        <w:numPr>
          <w:ilvl w:val="0"/>
          <w:numId w:val="10"/>
        </w:numPr>
        <w:ind w:left="1134" w:hanging="567"/>
        <w:jc w:val="both"/>
        <w:rPr>
          <w:rFonts w:asciiTheme="minorHAnsi" w:hAnsiTheme="minorHAnsi" w:cstheme="minorHAnsi"/>
        </w:rPr>
      </w:pPr>
      <w:r w:rsidRPr="009D2C97">
        <w:rPr>
          <w:rFonts w:asciiTheme="minorHAnsi" w:hAnsiTheme="minorHAnsi" w:cstheme="minorHAnsi"/>
        </w:rPr>
        <w:t>a</w:t>
      </w:r>
      <w:r w:rsidR="00574DAE" w:rsidRPr="009D2C97">
        <w:rPr>
          <w:rFonts w:asciiTheme="minorHAnsi" w:hAnsiTheme="minorHAnsi" w:cstheme="minorHAnsi"/>
        </w:rPr>
        <w:t>ccuracy of consumer credit information</w:t>
      </w:r>
      <w:r w:rsidR="00D479A8" w:rsidRPr="009D2C97">
        <w:rPr>
          <w:rFonts w:asciiTheme="minorHAnsi" w:hAnsiTheme="minorHAnsi" w:cstheme="minorHAnsi"/>
        </w:rPr>
        <w:t xml:space="preserve"> (including free credit report proposal)</w:t>
      </w:r>
      <w:r w:rsidR="00574DAE" w:rsidRPr="009D2C97">
        <w:rPr>
          <w:rFonts w:asciiTheme="minorHAnsi" w:hAnsiTheme="minorHAnsi" w:cstheme="minorHAnsi"/>
        </w:rPr>
        <w:t>;</w:t>
      </w:r>
    </w:p>
    <w:p w:rsidR="00574DAE" w:rsidRPr="009D2C97" w:rsidRDefault="000554CF" w:rsidP="00E03382">
      <w:pPr>
        <w:pStyle w:val="ListParagraph"/>
        <w:numPr>
          <w:ilvl w:val="0"/>
          <w:numId w:val="10"/>
        </w:numPr>
        <w:ind w:left="1134" w:hanging="567"/>
        <w:jc w:val="both"/>
        <w:rPr>
          <w:rFonts w:asciiTheme="minorHAnsi" w:hAnsiTheme="minorHAnsi" w:cstheme="minorHAnsi"/>
        </w:rPr>
      </w:pPr>
      <w:r w:rsidRPr="009D2C97">
        <w:rPr>
          <w:rFonts w:asciiTheme="minorHAnsi" w:hAnsiTheme="minorHAnsi" w:cstheme="minorHAnsi"/>
        </w:rPr>
        <w:t>r</w:t>
      </w:r>
      <w:r w:rsidR="00574DAE" w:rsidRPr="009D2C97">
        <w:rPr>
          <w:rFonts w:asciiTheme="minorHAnsi" w:hAnsiTheme="minorHAnsi" w:cstheme="minorHAnsi"/>
        </w:rPr>
        <w:t>etention of consumer credit information;</w:t>
      </w:r>
    </w:p>
    <w:p w:rsidR="00574DAE" w:rsidRPr="009D2C97" w:rsidRDefault="000554CF" w:rsidP="00E03382">
      <w:pPr>
        <w:pStyle w:val="ListParagraph"/>
        <w:numPr>
          <w:ilvl w:val="0"/>
          <w:numId w:val="10"/>
        </w:numPr>
        <w:ind w:left="1134" w:hanging="567"/>
        <w:jc w:val="both"/>
        <w:rPr>
          <w:rFonts w:asciiTheme="minorHAnsi" w:hAnsiTheme="minorHAnsi" w:cstheme="minorHAnsi"/>
        </w:rPr>
      </w:pPr>
      <w:r w:rsidRPr="009D2C97">
        <w:rPr>
          <w:rFonts w:asciiTheme="minorHAnsi" w:hAnsiTheme="minorHAnsi" w:cstheme="minorHAnsi"/>
        </w:rPr>
        <w:t>m</w:t>
      </w:r>
      <w:r w:rsidR="00574DAE" w:rsidRPr="009D2C97">
        <w:rPr>
          <w:rFonts w:asciiTheme="minorHAnsi" w:hAnsiTheme="minorHAnsi" w:cstheme="minorHAnsi"/>
        </w:rPr>
        <w:t>aintenance of consumer credit information;</w:t>
      </w:r>
    </w:p>
    <w:p w:rsidR="00574DAE" w:rsidRPr="009D2C97" w:rsidRDefault="000554CF" w:rsidP="00E03382">
      <w:pPr>
        <w:pStyle w:val="ListParagraph"/>
        <w:numPr>
          <w:ilvl w:val="0"/>
          <w:numId w:val="10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9D2C97">
        <w:rPr>
          <w:rFonts w:asciiTheme="minorHAnsi" w:hAnsiTheme="minorHAnsi" w:cstheme="minorHAnsi"/>
        </w:rPr>
        <w:t>expunging</w:t>
      </w:r>
      <w:proofErr w:type="gramEnd"/>
      <w:r w:rsidR="00574DAE" w:rsidRPr="009D2C97">
        <w:rPr>
          <w:rFonts w:asciiTheme="minorHAnsi" w:hAnsiTheme="minorHAnsi" w:cstheme="minorHAnsi"/>
        </w:rPr>
        <w:t xml:space="preserve"> of</w:t>
      </w:r>
      <w:r w:rsidRPr="009D2C97">
        <w:rPr>
          <w:rFonts w:asciiTheme="minorHAnsi" w:hAnsiTheme="minorHAnsi" w:cstheme="minorHAnsi"/>
        </w:rPr>
        <w:t xml:space="preserve"> records that are not permitted.</w:t>
      </w:r>
    </w:p>
    <w:p w:rsidR="00574DAE" w:rsidRPr="00D9754A" w:rsidRDefault="00574DAE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 information security policy</w:t>
      </w:r>
      <w:r w:rsidR="000554CF" w:rsidRPr="00D9754A">
        <w:rPr>
          <w:rFonts w:asciiTheme="minorHAnsi" w:hAnsiTheme="minorHAnsi" w:cstheme="minorHAnsi"/>
        </w:rPr>
        <w:t>:</w:t>
      </w:r>
    </w:p>
    <w:p w:rsidR="00574DAE" w:rsidRPr="00D479A8" w:rsidRDefault="000554CF" w:rsidP="000554CF">
      <w:pPr>
        <w:pStyle w:val="ListParagraph"/>
        <w:numPr>
          <w:ilvl w:val="0"/>
          <w:numId w:val="11"/>
        </w:numPr>
        <w:ind w:left="1134" w:hanging="567"/>
        <w:jc w:val="both"/>
        <w:rPr>
          <w:rFonts w:asciiTheme="minorHAnsi" w:hAnsiTheme="minorHAnsi" w:cstheme="minorHAnsi"/>
        </w:rPr>
      </w:pPr>
      <w:r w:rsidRPr="00D479A8">
        <w:rPr>
          <w:rFonts w:asciiTheme="minorHAnsi" w:hAnsiTheme="minorHAnsi" w:cstheme="minorHAnsi"/>
        </w:rPr>
        <w:t>s</w:t>
      </w:r>
      <w:r w:rsidR="00574DAE" w:rsidRPr="00D479A8">
        <w:rPr>
          <w:rFonts w:asciiTheme="minorHAnsi" w:hAnsiTheme="minorHAnsi" w:cstheme="minorHAnsi"/>
        </w:rPr>
        <w:t>ecurity doc</w:t>
      </w:r>
      <w:r w:rsidRPr="00D479A8">
        <w:rPr>
          <w:rFonts w:asciiTheme="minorHAnsi" w:hAnsiTheme="minorHAnsi" w:cstheme="minorHAnsi"/>
        </w:rPr>
        <w:t>umenting the protection of the d</w:t>
      </w:r>
      <w:r w:rsidR="00574DAE" w:rsidRPr="00D479A8">
        <w:rPr>
          <w:rFonts w:asciiTheme="minorHAnsi" w:hAnsiTheme="minorHAnsi" w:cstheme="minorHAnsi"/>
        </w:rPr>
        <w:t>ata;</w:t>
      </w:r>
    </w:p>
    <w:p w:rsidR="00574DAE" w:rsidRPr="00D479A8" w:rsidRDefault="000554CF" w:rsidP="000554CF">
      <w:pPr>
        <w:pStyle w:val="ListParagraph"/>
        <w:numPr>
          <w:ilvl w:val="0"/>
          <w:numId w:val="11"/>
        </w:numPr>
        <w:ind w:left="1134" w:hanging="567"/>
        <w:jc w:val="both"/>
        <w:rPr>
          <w:rFonts w:asciiTheme="minorHAnsi" w:hAnsiTheme="minorHAnsi" w:cstheme="minorHAnsi"/>
        </w:rPr>
      </w:pPr>
      <w:r w:rsidRPr="00D479A8">
        <w:rPr>
          <w:rFonts w:asciiTheme="minorHAnsi" w:hAnsiTheme="minorHAnsi" w:cstheme="minorHAnsi"/>
        </w:rPr>
        <w:t>policy and p</w:t>
      </w:r>
      <w:r w:rsidR="00574DAE" w:rsidRPr="00D479A8">
        <w:rPr>
          <w:rFonts w:asciiTheme="minorHAnsi" w:hAnsiTheme="minorHAnsi" w:cstheme="minorHAnsi"/>
        </w:rPr>
        <w:t>rocedure;</w:t>
      </w:r>
    </w:p>
    <w:p w:rsidR="00574DAE" w:rsidRPr="00D479A8" w:rsidRDefault="000554CF" w:rsidP="000554CF">
      <w:pPr>
        <w:pStyle w:val="ListParagraph"/>
        <w:numPr>
          <w:ilvl w:val="0"/>
          <w:numId w:val="11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D479A8">
        <w:rPr>
          <w:rFonts w:asciiTheme="minorHAnsi" w:hAnsiTheme="minorHAnsi" w:cstheme="minorHAnsi"/>
        </w:rPr>
        <w:t>p</w:t>
      </w:r>
      <w:r w:rsidR="00574DAE" w:rsidRPr="00D479A8">
        <w:rPr>
          <w:rFonts w:asciiTheme="minorHAnsi" w:hAnsiTheme="minorHAnsi" w:cstheme="minorHAnsi"/>
        </w:rPr>
        <w:t>rocess</w:t>
      </w:r>
      <w:proofErr w:type="gramEnd"/>
      <w:r w:rsidR="00574DAE" w:rsidRPr="00D479A8">
        <w:rPr>
          <w:rFonts w:asciiTheme="minorHAnsi" w:hAnsiTheme="minorHAnsi" w:cstheme="minorHAnsi"/>
        </w:rPr>
        <w:t xml:space="preserve"> map</w:t>
      </w:r>
      <w:r w:rsidR="00B104E8">
        <w:rPr>
          <w:rFonts w:asciiTheme="minorHAnsi" w:hAnsiTheme="minorHAnsi" w:cstheme="minorHAnsi"/>
        </w:rPr>
        <w:t>.</w:t>
      </w:r>
    </w:p>
    <w:p w:rsidR="005C5BAB" w:rsidRPr="005C5BAB" w:rsidRDefault="00574DAE" w:rsidP="005C5BAB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5C5BAB">
        <w:rPr>
          <w:rFonts w:asciiTheme="minorHAnsi" w:hAnsiTheme="minorHAnsi" w:cstheme="minorHAnsi"/>
        </w:rPr>
        <w:t>Business continuity management plan</w:t>
      </w:r>
      <w:r w:rsidR="000554CF" w:rsidRPr="005C5BAB">
        <w:rPr>
          <w:rFonts w:asciiTheme="minorHAnsi" w:hAnsiTheme="minorHAnsi" w:cstheme="minorHAnsi"/>
        </w:rPr>
        <w:t>:</w:t>
      </w:r>
    </w:p>
    <w:p w:rsidR="005C5BAB" w:rsidRPr="005C5BAB" w:rsidRDefault="005C5BAB" w:rsidP="005C5BA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5C5BAB">
        <w:rPr>
          <w:rFonts w:asciiTheme="minorHAnsi" w:hAnsiTheme="minorHAnsi" w:cstheme="minorHAnsi"/>
        </w:rPr>
        <w:t xml:space="preserve">disaster recovery plan in terms of IT systems, </w:t>
      </w:r>
      <w:r>
        <w:rPr>
          <w:rFonts w:asciiTheme="minorHAnsi" w:hAnsiTheme="minorHAnsi" w:cstheme="minorHAnsi"/>
        </w:rPr>
        <w:t>data and e</w:t>
      </w:r>
      <w:r w:rsidRPr="005C5BAB">
        <w:rPr>
          <w:rFonts w:asciiTheme="minorHAnsi" w:hAnsiTheme="minorHAnsi" w:cstheme="minorHAnsi"/>
        </w:rPr>
        <w:t>mployees;</w:t>
      </w:r>
    </w:p>
    <w:p w:rsidR="005C5BAB" w:rsidRPr="00D9754A" w:rsidRDefault="005C5BAB" w:rsidP="005C5BA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80F1B">
        <w:rPr>
          <w:rFonts w:asciiTheme="minorHAnsi" w:hAnsiTheme="minorHAnsi" w:cstheme="minorHAnsi"/>
        </w:rPr>
        <w:t>Of</w:t>
      </w:r>
      <w:r w:rsidRPr="00D9754A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-</w:t>
      </w:r>
      <w:r w:rsidRPr="00D9754A">
        <w:rPr>
          <w:rFonts w:asciiTheme="minorHAnsi" w:hAnsiTheme="minorHAnsi" w:cstheme="minorHAnsi"/>
        </w:rPr>
        <w:t>sit</w:t>
      </w:r>
      <w:r w:rsidR="004F769B">
        <w:rPr>
          <w:rFonts w:asciiTheme="minorHAnsi" w:hAnsiTheme="minorHAnsi" w:cstheme="minorHAnsi"/>
        </w:rPr>
        <w:t>e infrastructure to be included;</w:t>
      </w:r>
    </w:p>
    <w:p w:rsidR="005C5BAB" w:rsidRPr="009B16CB" w:rsidRDefault="005C5BAB" w:rsidP="005C5BA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B16CB">
        <w:rPr>
          <w:rFonts w:asciiTheme="minorHAnsi" w:hAnsiTheme="minorHAnsi" w:cstheme="minorHAnsi"/>
        </w:rPr>
        <w:t>disaster site must clarify load shedding /generators;</w:t>
      </w:r>
    </w:p>
    <w:p w:rsidR="00574DAE" w:rsidRDefault="000554CF" w:rsidP="009B16C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gramStart"/>
      <w:r w:rsidRPr="009B16CB">
        <w:rPr>
          <w:rFonts w:asciiTheme="minorHAnsi" w:hAnsiTheme="minorHAnsi" w:cstheme="minorHAnsi"/>
        </w:rPr>
        <w:t>i</w:t>
      </w:r>
      <w:r w:rsidR="00574DAE" w:rsidRPr="009B16CB">
        <w:rPr>
          <w:rFonts w:asciiTheme="minorHAnsi" w:hAnsiTheme="minorHAnsi" w:cstheme="minorHAnsi"/>
        </w:rPr>
        <w:t>ncluding</w:t>
      </w:r>
      <w:proofErr w:type="gramEnd"/>
      <w:r w:rsidR="00574DAE" w:rsidRPr="009B16CB">
        <w:rPr>
          <w:rFonts w:asciiTheme="minorHAnsi" w:hAnsiTheme="minorHAnsi" w:cstheme="minorHAnsi"/>
        </w:rPr>
        <w:t xml:space="preserve"> operational plans</w:t>
      </w:r>
      <w:r w:rsidRPr="009B16CB">
        <w:rPr>
          <w:rFonts w:asciiTheme="minorHAnsi" w:hAnsiTheme="minorHAnsi" w:cstheme="minorHAnsi"/>
        </w:rPr>
        <w:t>: short and long term.</w:t>
      </w:r>
    </w:p>
    <w:p w:rsidR="00B13062" w:rsidRDefault="00B13062" w:rsidP="00B13062">
      <w:pPr>
        <w:pStyle w:val="ListParagraph"/>
        <w:ind w:left="928"/>
        <w:jc w:val="both"/>
        <w:rPr>
          <w:rFonts w:asciiTheme="minorHAnsi" w:hAnsiTheme="minorHAnsi" w:cstheme="minorHAnsi"/>
        </w:rPr>
      </w:pPr>
    </w:p>
    <w:p w:rsidR="00C86FF9" w:rsidRDefault="00C86FF9" w:rsidP="00B13062">
      <w:pPr>
        <w:pStyle w:val="ListParagraph"/>
        <w:ind w:left="928"/>
        <w:jc w:val="both"/>
        <w:rPr>
          <w:rFonts w:asciiTheme="minorHAnsi" w:hAnsiTheme="minorHAnsi" w:cstheme="minorHAnsi"/>
        </w:rPr>
      </w:pPr>
    </w:p>
    <w:p w:rsidR="00B13062" w:rsidRDefault="00B13062" w:rsidP="00D479A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574DAE" w:rsidRPr="00D479A8">
        <w:rPr>
          <w:rFonts w:asciiTheme="minorHAnsi" w:hAnsiTheme="minorHAnsi" w:cstheme="minorHAnsi"/>
        </w:rPr>
        <w:t xml:space="preserve">List </w:t>
      </w:r>
      <w:r w:rsidR="00574DAE" w:rsidRPr="00CC37C4">
        <w:rPr>
          <w:rFonts w:asciiTheme="minorHAnsi" w:hAnsiTheme="minorHAnsi" w:cstheme="minorHAnsi"/>
        </w:rPr>
        <w:t xml:space="preserve">of exception reports run on data (e.g. </w:t>
      </w:r>
      <w:r w:rsidR="000554CF" w:rsidRPr="00CC37C4">
        <w:rPr>
          <w:rFonts w:asciiTheme="minorHAnsi" w:hAnsiTheme="minorHAnsi" w:cstheme="minorHAnsi"/>
        </w:rPr>
        <w:t>duplicate ID numbers).</w:t>
      </w:r>
      <w:r w:rsidR="00D479A8" w:rsidRPr="00CC37C4">
        <w:t xml:space="preserve"> </w:t>
      </w:r>
      <w:r w:rsidR="00D479A8" w:rsidRPr="00CC37C4">
        <w:rPr>
          <w:rFonts w:asciiTheme="minorHAnsi" w:hAnsiTheme="minorHAnsi" w:cstheme="minorHAnsi"/>
        </w:rPr>
        <w:t xml:space="preserve">The data layout must be clearly </w:t>
      </w:r>
      <w:r>
        <w:rPr>
          <w:rFonts w:asciiTheme="minorHAnsi" w:hAnsiTheme="minorHAnsi" w:cstheme="minorHAnsi"/>
        </w:rPr>
        <w:t xml:space="preserve"> </w:t>
      </w:r>
    </w:p>
    <w:p w:rsidR="00D479A8" w:rsidRPr="00CC37C4" w:rsidRDefault="00B13062" w:rsidP="00B13062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proofErr w:type="gramStart"/>
      <w:r w:rsidR="00D479A8" w:rsidRPr="00CC37C4">
        <w:rPr>
          <w:rFonts w:asciiTheme="minorHAnsi" w:hAnsiTheme="minorHAnsi" w:cstheme="minorHAnsi"/>
        </w:rPr>
        <w:t>defined</w:t>
      </w:r>
      <w:proofErr w:type="gramEnd"/>
      <w:r w:rsidR="00D479A8" w:rsidRPr="00CC37C4">
        <w:rPr>
          <w:rFonts w:asciiTheme="minorHAnsi" w:hAnsiTheme="minorHAnsi" w:cstheme="minorHAnsi"/>
        </w:rPr>
        <w:t xml:space="preserve"> (i.e. SACCRA format);</w:t>
      </w:r>
    </w:p>
    <w:p w:rsidR="00574DAE" w:rsidRDefault="000554CF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Risk management plan.</w:t>
      </w:r>
    </w:p>
    <w:p w:rsidR="00D479A8" w:rsidRDefault="00D479A8" w:rsidP="00BC778A">
      <w:pPr>
        <w:pStyle w:val="ListParagraph"/>
        <w:numPr>
          <w:ilvl w:val="0"/>
          <w:numId w:val="37"/>
        </w:numPr>
        <w:ind w:left="567" w:firstLine="0"/>
      </w:pPr>
      <w:r>
        <w:t>Audit committee must be stipulated</w:t>
      </w:r>
      <w:r w:rsidR="00463A77">
        <w:t xml:space="preserve"> (if applicable)</w:t>
      </w:r>
      <w:r>
        <w:t>;</w:t>
      </w:r>
    </w:p>
    <w:p w:rsidR="00D479A8" w:rsidRDefault="00D479A8" w:rsidP="00BC778A">
      <w:pPr>
        <w:pStyle w:val="ListParagraph"/>
        <w:numPr>
          <w:ilvl w:val="0"/>
          <w:numId w:val="37"/>
        </w:numPr>
        <w:ind w:left="567" w:firstLine="0"/>
      </w:pPr>
      <w:r>
        <w:t>Enterprise risk methodology in terms of risk management plan;</w:t>
      </w:r>
    </w:p>
    <w:p w:rsidR="00574DAE" w:rsidRPr="00D9754A" w:rsidRDefault="00574DAE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 xml:space="preserve">Information on current litigation against </w:t>
      </w:r>
      <w:r w:rsidR="00C80F1B">
        <w:rPr>
          <w:rFonts w:asciiTheme="minorHAnsi" w:hAnsiTheme="minorHAnsi" w:cstheme="minorHAnsi"/>
        </w:rPr>
        <w:t xml:space="preserve">the directors, management and </w:t>
      </w:r>
      <w:r w:rsidRPr="00D9754A">
        <w:rPr>
          <w:rFonts w:asciiTheme="minorHAnsi" w:hAnsiTheme="minorHAnsi" w:cstheme="minorHAnsi"/>
        </w:rPr>
        <w:t xml:space="preserve">the </w:t>
      </w:r>
      <w:r w:rsidR="001D3CED" w:rsidRPr="00D9754A">
        <w:rPr>
          <w:rFonts w:asciiTheme="minorHAnsi" w:hAnsiTheme="minorHAnsi" w:cstheme="minorHAnsi"/>
        </w:rPr>
        <w:t>organisation</w:t>
      </w:r>
      <w:r w:rsidRPr="00D9754A">
        <w:rPr>
          <w:rFonts w:asciiTheme="minorHAnsi" w:hAnsiTheme="minorHAnsi" w:cstheme="minorHAnsi"/>
        </w:rPr>
        <w:t xml:space="preserve"> (if applicable);</w:t>
      </w:r>
    </w:p>
    <w:p w:rsidR="00574DAE" w:rsidRPr="00D9754A" w:rsidRDefault="000554CF" w:rsidP="000554CF">
      <w:pPr>
        <w:pStyle w:val="ListParagraph"/>
        <w:numPr>
          <w:ilvl w:val="0"/>
          <w:numId w:val="14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C80F1B">
        <w:rPr>
          <w:rFonts w:asciiTheme="minorHAnsi" w:hAnsiTheme="minorHAnsi" w:cstheme="minorHAnsi"/>
        </w:rPr>
        <w:t>type</w:t>
      </w:r>
      <w:proofErr w:type="gramEnd"/>
      <w:r w:rsidRPr="00C80F1B">
        <w:rPr>
          <w:rFonts w:asciiTheme="minorHAnsi" w:hAnsiTheme="minorHAnsi" w:cstheme="minorHAnsi"/>
        </w:rPr>
        <w:t>, number</w:t>
      </w:r>
      <w:r w:rsidRPr="00D9754A">
        <w:rPr>
          <w:rFonts w:asciiTheme="minorHAnsi" w:hAnsiTheme="minorHAnsi" w:cstheme="minorHAnsi"/>
        </w:rPr>
        <w:t xml:space="preserve"> and value of cases.</w:t>
      </w:r>
    </w:p>
    <w:p w:rsidR="00574DAE" w:rsidRPr="00D9754A" w:rsidRDefault="00574DAE" w:rsidP="000554C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</w:rPr>
        <w:t>Copy of the policy and procedures for handling questions, concerns and complaints of consumers, debt counsellors, alternative dispute resolu</w:t>
      </w:r>
      <w:r w:rsidR="000554CF" w:rsidRPr="00D9754A">
        <w:rPr>
          <w:rFonts w:asciiTheme="minorHAnsi" w:hAnsiTheme="minorHAnsi" w:cstheme="minorHAnsi"/>
        </w:rPr>
        <w:t>tion agents or credit providers:</w:t>
      </w:r>
    </w:p>
    <w:p w:rsidR="000554CF" w:rsidRPr="00976F3A" w:rsidRDefault="002835BE" w:rsidP="000554CF">
      <w:pPr>
        <w:pStyle w:val="ListParagraph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 w:rsidRPr="00976F3A">
        <w:rPr>
          <w:rFonts w:asciiTheme="minorHAnsi" w:hAnsiTheme="minorHAnsi" w:cstheme="minorHAnsi"/>
        </w:rPr>
        <w:t xml:space="preserve">dispute process and procedure in terms of the dispute directive for </w:t>
      </w:r>
      <w:r w:rsidR="00CC07D2">
        <w:rPr>
          <w:rFonts w:asciiTheme="minorHAnsi" w:hAnsiTheme="minorHAnsi" w:cstheme="minorHAnsi"/>
        </w:rPr>
        <w:t>credit bureaux</w:t>
      </w:r>
      <w:r w:rsidR="00574DAE" w:rsidRPr="00976F3A">
        <w:rPr>
          <w:rFonts w:asciiTheme="minorHAnsi" w:hAnsiTheme="minorHAnsi" w:cstheme="minorHAnsi"/>
        </w:rPr>
        <w:t>;</w:t>
      </w:r>
    </w:p>
    <w:p w:rsidR="00574DAE" w:rsidRPr="00C80F1B" w:rsidRDefault="000554CF" w:rsidP="000554CF">
      <w:pPr>
        <w:pStyle w:val="ListParagraph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 w:rsidRPr="00C80F1B">
        <w:rPr>
          <w:rFonts w:asciiTheme="minorHAnsi" w:hAnsiTheme="minorHAnsi" w:cstheme="minorHAnsi"/>
        </w:rPr>
        <w:t>e</w:t>
      </w:r>
      <w:r w:rsidR="00574DAE" w:rsidRPr="00C80F1B">
        <w:rPr>
          <w:rFonts w:asciiTheme="minorHAnsi" w:hAnsiTheme="minorHAnsi" w:cstheme="minorHAnsi"/>
        </w:rPr>
        <w:t xml:space="preserve">scalation process of disputes; </w:t>
      </w:r>
    </w:p>
    <w:p w:rsidR="00574DAE" w:rsidRPr="00D9754A" w:rsidRDefault="000554CF" w:rsidP="000554CF">
      <w:pPr>
        <w:pStyle w:val="ListParagraph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 w:rsidRPr="00C80F1B">
        <w:rPr>
          <w:rFonts w:asciiTheme="minorHAnsi" w:hAnsiTheme="minorHAnsi" w:cstheme="minorHAnsi"/>
        </w:rPr>
        <w:t>IT</w:t>
      </w:r>
      <w:r w:rsidRPr="00D9754A">
        <w:rPr>
          <w:rFonts w:asciiTheme="minorHAnsi" w:hAnsiTheme="minorHAnsi" w:cstheme="minorHAnsi"/>
        </w:rPr>
        <w:t xml:space="preserve"> mapping process of the above.</w:t>
      </w:r>
    </w:p>
    <w:p w:rsidR="0008498A" w:rsidRPr="0008498A" w:rsidRDefault="0008498A" w:rsidP="0008498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74DAE" w:rsidRPr="0008498A">
        <w:rPr>
          <w:rFonts w:asciiTheme="minorHAnsi" w:hAnsiTheme="minorHAnsi" w:cstheme="minorHAnsi"/>
        </w:rPr>
        <w:t>A detail</w:t>
      </w:r>
      <w:r w:rsidR="000554CF" w:rsidRPr="0008498A">
        <w:rPr>
          <w:rFonts w:asciiTheme="minorHAnsi" w:hAnsiTheme="minorHAnsi" w:cstheme="minorHAnsi"/>
        </w:rPr>
        <w:t>ed</w:t>
      </w:r>
      <w:r w:rsidR="00574DAE" w:rsidRPr="0008498A">
        <w:rPr>
          <w:rFonts w:asciiTheme="minorHAnsi" w:hAnsiTheme="minorHAnsi" w:cstheme="minorHAnsi"/>
        </w:rPr>
        <w:t xml:space="preserve"> overview of the IT infrastructure, systems and IT resources both onsite (at </w:t>
      </w:r>
      <w:r>
        <w:rPr>
          <w:rFonts w:asciiTheme="minorHAnsi" w:hAnsiTheme="minorHAnsi" w:cstheme="minorHAnsi"/>
        </w:rPr>
        <w:t xml:space="preserve"> </w:t>
      </w:r>
      <w:r w:rsidR="000554CF" w:rsidRPr="0008498A">
        <w:rPr>
          <w:rFonts w:asciiTheme="minorHAnsi" w:hAnsiTheme="minorHAnsi" w:cstheme="minorHAnsi"/>
        </w:rPr>
        <w:t>organisation’s</w:t>
      </w:r>
      <w:r w:rsidR="00574DAE" w:rsidRPr="0008498A">
        <w:rPr>
          <w:rFonts w:asciiTheme="minorHAnsi" w:hAnsiTheme="minorHAnsi" w:cstheme="minorHAnsi"/>
        </w:rPr>
        <w:t xml:space="preserve"> premises) and off site (business continuity </w:t>
      </w:r>
      <w:r w:rsidR="00735DBB" w:rsidRPr="0008498A">
        <w:rPr>
          <w:rFonts w:asciiTheme="minorHAnsi" w:hAnsiTheme="minorHAnsi" w:cstheme="minorHAnsi"/>
        </w:rPr>
        <w:t>site).</w:t>
      </w:r>
      <w:r w:rsidRPr="0008498A">
        <w:rPr>
          <w:rFonts w:asciiTheme="minorHAnsi" w:hAnsiTheme="minorHAnsi" w:cstheme="minorHAnsi"/>
        </w:rPr>
        <w:t>Procedures to be performed by the independent audit firm must include the following;</w:t>
      </w:r>
    </w:p>
    <w:p w:rsidR="0008498A" w:rsidRPr="0008498A" w:rsidRDefault="0008498A" w:rsidP="0008498A">
      <w:pPr>
        <w:pStyle w:val="ListParagraph"/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 w:rsidRPr="0008498A">
        <w:rPr>
          <w:rFonts w:cs="Arial"/>
        </w:rPr>
        <w:t xml:space="preserve">Obtain and inspect the information security policies (‘Policies’) established by the </w:t>
      </w:r>
      <w:r w:rsidR="00CC07D2">
        <w:rPr>
          <w:rFonts w:cs="Arial"/>
        </w:rPr>
        <w:t>credit bureaux</w:t>
      </w:r>
      <w:r w:rsidRPr="0008498A">
        <w:rPr>
          <w:rFonts w:cs="Arial"/>
        </w:rPr>
        <w:t xml:space="preserve"> and identify  the  IT controls designed by management in the Policies to prevent: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Unauthorised Physical and logical access by </w:t>
      </w:r>
      <w:r w:rsidR="00CC07D2">
        <w:rPr>
          <w:rFonts w:cs="Arial"/>
        </w:rPr>
        <w:t>credit bureaux</w:t>
      </w:r>
      <w:r w:rsidR="00CC07D2" w:rsidRPr="00A3216A">
        <w:rPr>
          <w:rFonts w:cs="Arial"/>
        </w:rPr>
        <w:t xml:space="preserve"> </w:t>
      </w:r>
      <w:r w:rsidRPr="00A3216A">
        <w:rPr>
          <w:rFonts w:cs="Arial"/>
        </w:rPr>
        <w:t xml:space="preserve">employees and </w:t>
      </w:r>
      <w:r>
        <w:rPr>
          <w:rFonts w:cs="Arial"/>
        </w:rPr>
        <w:t>all third parties, including outsourced service organisation, to consumer credit information;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 Unlawful </w:t>
      </w:r>
      <w:r>
        <w:rPr>
          <w:rFonts w:cs="Arial"/>
        </w:rPr>
        <w:t xml:space="preserve">access to </w:t>
      </w:r>
      <w:r w:rsidRPr="00A3216A">
        <w:rPr>
          <w:rFonts w:cs="Arial"/>
        </w:rPr>
        <w:t xml:space="preserve"> consumer cred</w:t>
      </w:r>
      <w:r>
        <w:rPr>
          <w:rFonts w:cs="Arial"/>
        </w:rPr>
        <w:t xml:space="preserve">it information by any third party and </w:t>
      </w:r>
    </w:p>
    <w:p w:rsidR="0008498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Unlawful </w:t>
      </w:r>
      <w:r>
        <w:rPr>
          <w:rFonts w:cs="Arial"/>
        </w:rPr>
        <w:t xml:space="preserve">distribution </w:t>
      </w:r>
      <w:r w:rsidRPr="00A3216A">
        <w:rPr>
          <w:rFonts w:cs="Arial"/>
        </w:rPr>
        <w:t>of consumer credit information in terms of</w:t>
      </w:r>
      <w:r>
        <w:rPr>
          <w:rFonts w:cs="Arial"/>
        </w:rPr>
        <w:t xml:space="preserve"> the NCA.</w:t>
      </w:r>
    </w:p>
    <w:p w:rsidR="0008498A" w:rsidRPr="00A3216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Through interviews with </w:t>
      </w:r>
      <w:r w:rsidR="00CC07D2">
        <w:rPr>
          <w:rFonts w:cs="Arial"/>
        </w:rPr>
        <w:t>credit bureaux</w:t>
      </w:r>
      <w:r>
        <w:rPr>
          <w:rFonts w:cs="Arial"/>
        </w:rPr>
        <w:t xml:space="preserve"> management and inspection of their Policies, confirm that the </w:t>
      </w:r>
      <w:r w:rsidR="00CC07D2">
        <w:rPr>
          <w:rFonts w:cs="Arial"/>
        </w:rPr>
        <w:t xml:space="preserve">credit bureaux </w:t>
      </w:r>
      <w:r>
        <w:rPr>
          <w:rFonts w:cs="Arial"/>
        </w:rPr>
        <w:t>has established formal access policies and procedures for all third party (client) access to its systems.</w:t>
      </w:r>
    </w:p>
    <w:p w:rsidR="0008498A" w:rsidRPr="00A3216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>For each control identified in procedure</w:t>
      </w:r>
      <w:r>
        <w:rPr>
          <w:rFonts w:cs="Arial"/>
        </w:rPr>
        <w:t>s</w:t>
      </w:r>
      <w:r w:rsidRPr="00A3216A">
        <w:rPr>
          <w:rFonts w:cs="Arial"/>
        </w:rPr>
        <w:t xml:space="preserve"> 1</w:t>
      </w:r>
      <w:r>
        <w:rPr>
          <w:rFonts w:cs="Arial"/>
        </w:rPr>
        <w:t>.1 to 1.3 and 2</w:t>
      </w:r>
      <w:r w:rsidRPr="00A3216A">
        <w:rPr>
          <w:rFonts w:cs="Arial"/>
        </w:rPr>
        <w:t>, identify if the control is operating as defined in the Policies.</w:t>
      </w:r>
      <w:r>
        <w:rPr>
          <w:rFonts w:cs="Arial"/>
        </w:rPr>
        <w:t>(Refer to section 4 for sample size guidance)</w:t>
      </w:r>
    </w:p>
    <w:p w:rsidR="0008498A" w:rsidRPr="00A3216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>Iden</w:t>
      </w:r>
      <w:r>
        <w:rPr>
          <w:rFonts w:cs="Arial"/>
        </w:rPr>
        <w:t xml:space="preserve">tify and report on the destruction policies and procedures of the </w:t>
      </w:r>
      <w:r w:rsidRPr="00A3216A">
        <w:rPr>
          <w:rFonts w:cs="Arial"/>
        </w:rPr>
        <w:t xml:space="preserve">consumer credit </w:t>
      </w:r>
      <w:r>
        <w:rPr>
          <w:rFonts w:cs="Arial"/>
        </w:rPr>
        <w:t xml:space="preserve">information received by the </w:t>
      </w:r>
      <w:r w:rsidR="00CC07D2">
        <w:rPr>
          <w:rFonts w:cs="Arial"/>
        </w:rPr>
        <w:t>credit bureaux</w:t>
      </w:r>
      <w:r>
        <w:rPr>
          <w:rFonts w:cs="Arial"/>
        </w:rPr>
        <w:t>.</w:t>
      </w:r>
    </w:p>
    <w:p w:rsidR="0008498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Obtain a declaration of cloud service providers used by the </w:t>
      </w:r>
      <w:r w:rsidR="00CC07D2">
        <w:rPr>
          <w:rFonts w:cs="Arial"/>
        </w:rPr>
        <w:t>credit bureaux</w:t>
      </w:r>
      <w:r w:rsidR="00CC07D2" w:rsidRPr="00A3216A">
        <w:rPr>
          <w:rFonts w:cs="Arial"/>
        </w:rPr>
        <w:t xml:space="preserve"> </w:t>
      </w:r>
      <w:r w:rsidRPr="00A3216A">
        <w:rPr>
          <w:rFonts w:cs="Arial"/>
        </w:rPr>
        <w:t>and for each cloud service p</w:t>
      </w:r>
      <w:r>
        <w:rPr>
          <w:rFonts w:cs="Arial"/>
        </w:rPr>
        <w:t>rovider report on the</w:t>
      </w:r>
      <w:r w:rsidRPr="00CB61CC">
        <w:rPr>
          <w:rFonts w:cs="Arial"/>
        </w:rPr>
        <w:t xml:space="preserve"> </w:t>
      </w:r>
      <w:r>
        <w:rPr>
          <w:rFonts w:cs="Arial"/>
        </w:rPr>
        <w:t>following:</w:t>
      </w:r>
    </w:p>
    <w:p w:rsidR="0008498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G</w:t>
      </w:r>
      <w:r w:rsidRPr="00CB61CC">
        <w:rPr>
          <w:rFonts w:cs="Arial"/>
        </w:rPr>
        <w:t xml:space="preserve">eographical location of the servers used by the cloud service provider to render services to the </w:t>
      </w:r>
      <w:r w:rsidR="00CC07D2">
        <w:rPr>
          <w:rFonts w:cs="Arial"/>
        </w:rPr>
        <w:t xml:space="preserve">credit bureaux </w:t>
      </w:r>
      <w:r>
        <w:rPr>
          <w:rFonts w:cs="Arial"/>
        </w:rPr>
        <w:t>and</w:t>
      </w:r>
    </w:p>
    <w:p w:rsidR="0008498A" w:rsidRPr="00CB61CC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Encryption protocols over consumer credit information at rest and in transit with the cloud provider.</w:t>
      </w:r>
    </w:p>
    <w:p w:rsidR="0008498A" w:rsidRPr="00A3216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Obtain and inspect</w:t>
      </w:r>
      <w:r w:rsidRPr="00A3216A">
        <w:rPr>
          <w:rFonts w:cs="Arial"/>
        </w:rPr>
        <w:t xml:space="preserve"> the B</w:t>
      </w:r>
      <w:r w:rsidR="00EA0474">
        <w:rPr>
          <w:rFonts w:cs="Arial"/>
        </w:rPr>
        <w:t xml:space="preserve">usiness </w:t>
      </w:r>
      <w:r w:rsidRPr="00A3216A">
        <w:rPr>
          <w:rFonts w:cs="Arial"/>
        </w:rPr>
        <w:t>C</w:t>
      </w:r>
      <w:r w:rsidR="00EA0474">
        <w:rPr>
          <w:rFonts w:cs="Arial"/>
        </w:rPr>
        <w:t xml:space="preserve">ontinuity </w:t>
      </w:r>
      <w:r w:rsidRPr="00A3216A">
        <w:rPr>
          <w:rFonts w:cs="Arial"/>
        </w:rPr>
        <w:t>P</w:t>
      </w:r>
      <w:r w:rsidR="00EA0474">
        <w:rPr>
          <w:rFonts w:cs="Arial"/>
        </w:rPr>
        <w:t>lan (BCP)</w:t>
      </w:r>
      <w:r w:rsidRPr="00A3216A">
        <w:rPr>
          <w:rFonts w:cs="Arial"/>
        </w:rPr>
        <w:t xml:space="preserve"> and </w:t>
      </w:r>
      <w:r w:rsidR="00EA0474" w:rsidRPr="00A3216A">
        <w:rPr>
          <w:rFonts w:cs="Arial"/>
        </w:rPr>
        <w:t>D</w:t>
      </w:r>
      <w:r w:rsidR="00EA0474">
        <w:rPr>
          <w:rFonts w:cs="Arial"/>
        </w:rPr>
        <w:t xml:space="preserve">isaster </w:t>
      </w:r>
      <w:r w:rsidRPr="00A3216A">
        <w:rPr>
          <w:rFonts w:cs="Arial"/>
        </w:rPr>
        <w:t>R</w:t>
      </w:r>
      <w:r w:rsidR="00EA0474">
        <w:rPr>
          <w:rFonts w:cs="Arial"/>
        </w:rPr>
        <w:t xml:space="preserve">ecovery </w:t>
      </w:r>
      <w:r w:rsidRPr="00A3216A">
        <w:rPr>
          <w:rFonts w:cs="Arial"/>
        </w:rPr>
        <w:t>P</w:t>
      </w:r>
      <w:r w:rsidR="00EA0474">
        <w:rPr>
          <w:rFonts w:cs="Arial"/>
        </w:rPr>
        <w:t>lan (DRP)</w:t>
      </w:r>
      <w:r w:rsidRPr="00A3216A">
        <w:rPr>
          <w:rFonts w:cs="Arial"/>
        </w:rPr>
        <w:t xml:space="preserve"> of the </w:t>
      </w:r>
      <w:r w:rsidR="00CC07D2">
        <w:rPr>
          <w:rFonts w:cs="Arial"/>
        </w:rPr>
        <w:t>credit bureaux</w:t>
      </w:r>
      <w:r w:rsidR="00CC07D2" w:rsidRPr="00A3216A">
        <w:rPr>
          <w:rFonts w:cs="Arial"/>
        </w:rPr>
        <w:t xml:space="preserve"> </w:t>
      </w:r>
      <w:r w:rsidRPr="00A3216A">
        <w:rPr>
          <w:rFonts w:cs="Arial"/>
        </w:rPr>
        <w:t>and repor</w:t>
      </w:r>
      <w:r>
        <w:rPr>
          <w:rFonts w:cs="Arial"/>
        </w:rPr>
        <w:t>t on</w:t>
      </w:r>
      <w:r w:rsidRPr="00A3216A">
        <w:rPr>
          <w:rFonts w:cs="Arial"/>
        </w:rPr>
        <w:t xml:space="preserve"> the following: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The controls </w:t>
      </w:r>
      <w:r>
        <w:rPr>
          <w:rFonts w:cs="Arial"/>
        </w:rPr>
        <w:t xml:space="preserve">identified </w:t>
      </w:r>
      <w:r w:rsidRPr="00A3216A">
        <w:rPr>
          <w:rFonts w:cs="Arial"/>
        </w:rPr>
        <w:t xml:space="preserve">in the BCP and </w:t>
      </w:r>
      <w:r w:rsidR="00CC07D2">
        <w:rPr>
          <w:rFonts w:cs="Arial"/>
        </w:rPr>
        <w:t>credit bureaux</w:t>
      </w:r>
      <w:r w:rsidR="00CC07D2" w:rsidRPr="00A3216A">
        <w:rPr>
          <w:rFonts w:cs="Arial"/>
        </w:rPr>
        <w:t xml:space="preserve"> </w:t>
      </w:r>
      <w:r w:rsidRPr="00A3216A">
        <w:rPr>
          <w:rFonts w:cs="Arial"/>
        </w:rPr>
        <w:t>to backup, recover and provide availability</w:t>
      </w:r>
      <w:r>
        <w:rPr>
          <w:rFonts w:cs="Arial"/>
        </w:rPr>
        <w:t xml:space="preserve"> of consumer credit information;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Off-site backup locations used by the </w:t>
      </w:r>
      <w:r w:rsidR="00CC07D2">
        <w:rPr>
          <w:rFonts w:cs="Arial"/>
        </w:rPr>
        <w:t xml:space="preserve">credit bureaux </w:t>
      </w:r>
      <w:r>
        <w:rPr>
          <w:rFonts w:cs="Arial"/>
        </w:rPr>
        <w:t xml:space="preserve">and </w:t>
      </w:r>
    </w:p>
    <w:p w:rsidR="0008498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lastRenderedPageBreak/>
        <w:t xml:space="preserve">The extent to which the BCP and DRP has been tested by the </w:t>
      </w:r>
      <w:r w:rsidR="00CC07D2">
        <w:rPr>
          <w:rFonts w:cs="Arial"/>
        </w:rPr>
        <w:t>credit bureaux</w:t>
      </w:r>
      <w:r w:rsidR="00CC07D2" w:rsidRPr="00A3216A">
        <w:rPr>
          <w:rFonts w:cs="Arial"/>
        </w:rPr>
        <w:t xml:space="preserve"> </w:t>
      </w:r>
      <w:r w:rsidRPr="00A3216A">
        <w:rPr>
          <w:rFonts w:cs="Arial"/>
        </w:rPr>
        <w:t>for operating effective</w:t>
      </w:r>
      <w:r>
        <w:rPr>
          <w:rFonts w:cs="Arial"/>
        </w:rPr>
        <w:t>ness.</w:t>
      </w:r>
    </w:p>
    <w:p w:rsidR="0008498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Encryption protocols over consumer credit information which is backed up.</w:t>
      </w:r>
    </w:p>
    <w:p w:rsidR="0008498A" w:rsidRPr="00663E8D" w:rsidRDefault="0008498A" w:rsidP="0008498A">
      <w:pPr>
        <w:spacing w:before="120" w:after="120"/>
        <w:jc w:val="both"/>
        <w:rPr>
          <w:rFonts w:cs="Arial"/>
        </w:rPr>
      </w:pPr>
    </w:p>
    <w:p w:rsidR="0008498A" w:rsidRPr="00A3216A" w:rsidRDefault="0008498A" w:rsidP="0008498A">
      <w:pPr>
        <w:numPr>
          <w:ilvl w:val="0"/>
          <w:numId w:val="43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Obtain and inspect suitable </w:t>
      </w:r>
      <w:r w:rsidR="00EA0474">
        <w:rPr>
          <w:rFonts w:cs="Arial"/>
        </w:rPr>
        <w:t>Information Systems (</w:t>
      </w:r>
      <w:r>
        <w:rPr>
          <w:rFonts w:cs="Arial"/>
        </w:rPr>
        <w:t>IS</w:t>
      </w:r>
      <w:r w:rsidR="00EA0474">
        <w:rPr>
          <w:rFonts w:cs="Arial"/>
        </w:rPr>
        <w:t>)</w:t>
      </w:r>
      <w:r>
        <w:rPr>
          <w:rFonts w:cs="Arial"/>
        </w:rPr>
        <w:t xml:space="preserve"> documentation and r</w:t>
      </w:r>
      <w:r w:rsidRPr="00A3216A">
        <w:rPr>
          <w:rFonts w:cs="Arial"/>
        </w:rPr>
        <w:t xml:space="preserve">eport on the </w:t>
      </w:r>
      <w:r>
        <w:rPr>
          <w:rFonts w:cs="Arial"/>
        </w:rPr>
        <w:t xml:space="preserve">nature of the </w:t>
      </w:r>
      <w:r w:rsidRPr="00A3216A">
        <w:rPr>
          <w:rFonts w:cs="Arial"/>
        </w:rPr>
        <w:t>following security systems</w:t>
      </w:r>
      <w:r>
        <w:rPr>
          <w:rFonts w:cs="Arial"/>
        </w:rPr>
        <w:t xml:space="preserve"> and applications, </w:t>
      </w:r>
      <w:r w:rsidRPr="00A3216A">
        <w:rPr>
          <w:rFonts w:cs="Arial"/>
        </w:rPr>
        <w:t xml:space="preserve">which </w:t>
      </w:r>
      <w:r>
        <w:rPr>
          <w:rFonts w:cs="Arial"/>
        </w:rPr>
        <w:t xml:space="preserve">has been implemented by the </w:t>
      </w:r>
      <w:r w:rsidR="00CC07D2">
        <w:rPr>
          <w:rFonts w:cs="Arial"/>
        </w:rPr>
        <w:t>credit bureaux</w:t>
      </w:r>
      <w:r>
        <w:rPr>
          <w:rFonts w:cs="Arial"/>
        </w:rPr>
        <w:t>, and the extent to which the latest updates was performed on identified systems and applications: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>Intrusion detection mechanisms</w:t>
      </w:r>
      <w:r>
        <w:rPr>
          <w:rFonts w:cs="Arial"/>
        </w:rPr>
        <w:t>;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>Anti-Malware software</w:t>
      </w:r>
      <w:r>
        <w:rPr>
          <w:rFonts w:cs="Arial"/>
        </w:rPr>
        <w:t>;</w:t>
      </w:r>
    </w:p>
    <w:p w:rsidR="0008498A" w:rsidRPr="00A3216A" w:rsidRDefault="0008498A" w:rsidP="0008498A">
      <w:pPr>
        <w:numPr>
          <w:ilvl w:val="1"/>
          <w:numId w:val="43"/>
        </w:numPr>
        <w:spacing w:before="120" w:after="120" w:line="240" w:lineRule="auto"/>
        <w:jc w:val="both"/>
        <w:rPr>
          <w:rFonts w:cs="Arial"/>
        </w:rPr>
      </w:pPr>
      <w:r w:rsidRPr="00A3216A">
        <w:rPr>
          <w:rFonts w:cs="Arial"/>
        </w:rPr>
        <w:t xml:space="preserve">Firewalls (software and </w:t>
      </w:r>
      <w:r>
        <w:rPr>
          <w:rFonts w:cs="Arial"/>
        </w:rPr>
        <w:t xml:space="preserve">hardware </w:t>
      </w:r>
      <w:r w:rsidRPr="00A3216A">
        <w:rPr>
          <w:rFonts w:cs="Arial"/>
        </w:rPr>
        <w:t>devices)</w:t>
      </w:r>
      <w:r>
        <w:rPr>
          <w:rFonts w:cs="Arial"/>
        </w:rPr>
        <w:t xml:space="preserve"> and </w:t>
      </w:r>
    </w:p>
    <w:p w:rsidR="0008498A" w:rsidRPr="0008498A" w:rsidRDefault="0008498A" w:rsidP="0008498A">
      <w:pPr>
        <w:pStyle w:val="ListParagraph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A3216A">
        <w:rPr>
          <w:rFonts w:cs="Arial"/>
        </w:rPr>
        <w:t>Encryption protocols over consumer credit information</w:t>
      </w:r>
      <w:r>
        <w:rPr>
          <w:rFonts w:cs="Arial"/>
        </w:rPr>
        <w:t xml:space="preserve"> at rest and in transit.</w:t>
      </w:r>
    </w:p>
    <w:p w:rsidR="0008498A" w:rsidRPr="00D9754A" w:rsidRDefault="0008498A" w:rsidP="0008498A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735DBB" w:rsidRPr="0008498A" w:rsidRDefault="00735DBB" w:rsidP="0008498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8498A">
        <w:rPr>
          <w:rFonts w:asciiTheme="minorHAnsi" w:hAnsiTheme="minorHAnsi" w:cstheme="minorHAnsi"/>
          <w:bCs/>
        </w:rPr>
        <w:t>PRO/C</w:t>
      </w:r>
      <w:r w:rsidR="00574DAE" w:rsidRPr="0008498A">
        <w:rPr>
          <w:rFonts w:asciiTheme="minorHAnsi" w:hAnsiTheme="minorHAnsi" w:cstheme="minorHAnsi"/>
          <w:bCs/>
        </w:rPr>
        <w:t>ustomer Liai</w:t>
      </w:r>
      <w:r w:rsidRPr="0008498A">
        <w:rPr>
          <w:rFonts w:asciiTheme="minorHAnsi" w:hAnsiTheme="minorHAnsi" w:cstheme="minorHAnsi"/>
          <w:bCs/>
        </w:rPr>
        <w:t>son (consumer education policy):</w:t>
      </w:r>
      <w:r w:rsidR="00574DAE" w:rsidRPr="0008498A">
        <w:rPr>
          <w:rFonts w:asciiTheme="minorHAnsi" w:hAnsiTheme="minorHAnsi" w:cstheme="minorHAnsi"/>
          <w:bCs/>
        </w:rPr>
        <w:t xml:space="preserve">  </w:t>
      </w:r>
    </w:p>
    <w:p w:rsidR="00735DBB" w:rsidRPr="00D9754A" w:rsidRDefault="00735DBB" w:rsidP="00735DBB">
      <w:pPr>
        <w:pStyle w:val="ListParagraph"/>
        <w:numPr>
          <w:ilvl w:val="0"/>
          <w:numId w:val="16"/>
        </w:numPr>
        <w:ind w:left="1134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  <w:iCs/>
        </w:rPr>
        <w:t>a</w:t>
      </w:r>
      <w:r w:rsidR="00574DAE" w:rsidRPr="00D9754A">
        <w:rPr>
          <w:rFonts w:asciiTheme="minorHAnsi" w:hAnsiTheme="minorHAnsi" w:cstheme="minorHAnsi"/>
          <w:iCs/>
        </w:rPr>
        <w:t xml:space="preserve"> detailed overview of the </w:t>
      </w:r>
      <w:r w:rsidR="00BC778A">
        <w:rPr>
          <w:rFonts w:asciiTheme="minorHAnsi" w:hAnsiTheme="minorHAnsi" w:cstheme="minorHAnsi"/>
          <w:iCs/>
        </w:rPr>
        <w:t>applicant</w:t>
      </w:r>
      <w:r w:rsidR="00B13062">
        <w:rPr>
          <w:rFonts w:asciiTheme="minorHAnsi" w:hAnsiTheme="minorHAnsi" w:cstheme="minorHAnsi"/>
          <w:iCs/>
        </w:rPr>
        <w:t>’</w:t>
      </w:r>
      <w:r w:rsidR="00BC778A">
        <w:rPr>
          <w:rFonts w:asciiTheme="minorHAnsi" w:hAnsiTheme="minorHAnsi" w:cstheme="minorHAnsi"/>
          <w:iCs/>
        </w:rPr>
        <w:t>s</w:t>
      </w:r>
      <w:r w:rsidRPr="00D9754A">
        <w:rPr>
          <w:rFonts w:asciiTheme="minorHAnsi" w:hAnsiTheme="minorHAnsi" w:cstheme="minorHAnsi"/>
          <w:iCs/>
        </w:rPr>
        <w:t xml:space="preserve"> client base;</w:t>
      </w:r>
    </w:p>
    <w:p w:rsidR="00735DBB" w:rsidRPr="00D9754A" w:rsidRDefault="00735DBB" w:rsidP="00735DBB">
      <w:pPr>
        <w:pStyle w:val="ListParagraph"/>
        <w:numPr>
          <w:ilvl w:val="0"/>
          <w:numId w:val="16"/>
        </w:numPr>
        <w:ind w:left="1134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  <w:iCs/>
        </w:rPr>
        <w:t>t</w:t>
      </w:r>
      <w:r w:rsidR="00574DAE" w:rsidRPr="00D9754A">
        <w:rPr>
          <w:rFonts w:asciiTheme="minorHAnsi" w:hAnsiTheme="minorHAnsi" w:cstheme="minorHAnsi"/>
          <w:iCs/>
        </w:rPr>
        <w:t xml:space="preserve">he </w:t>
      </w:r>
      <w:r w:rsidR="00B13062">
        <w:rPr>
          <w:rFonts w:asciiTheme="minorHAnsi" w:hAnsiTheme="minorHAnsi" w:cstheme="minorHAnsi"/>
          <w:iCs/>
        </w:rPr>
        <w:t>applicant</w:t>
      </w:r>
      <w:r w:rsidR="00574DAE" w:rsidRPr="00D9754A">
        <w:rPr>
          <w:rFonts w:asciiTheme="minorHAnsi" w:hAnsiTheme="minorHAnsi" w:cstheme="minorHAnsi"/>
          <w:iCs/>
        </w:rPr>
        <w:t>’s value proposit</w:t>
      </w:r>
      <w:r w:rsidRPr="00D9754A">
        <w:rPr>
          <w:rFonts w:asciiTheme="minorHAnsi" w:hAnsiTheme="minorHAnsi" w:cstheme="minorHAnsi"/>
          <w:iCs/>
        </w:rPr>
        <w:t>ion and benefit to the consumer</w:t>
      </w:r>
      <w:r w:rsidR="00C675CA">
        <w:rPr>
          <w:rFonts w:asciiTheme="minorHAnsi" w:hAnsiTheme="minorHAnsi" w:cstheme="minorHAnsi"/>
          <w:iCs/>
        </w:rPr>
        <w:t>s</w:t>
      </w:r>
      <w:r w:rsidRPr="00D9754A">
        <w:rPr>
          <w:rFonts w:asciiTheme="minorHAnsi" w:hAnsiTheme="minorHAnsi" w:cstheme="minorHAnsi"/>
          <w:iCs/>
        </w:rPr>
        <w:t>;</w:t>
      </w:r>
    </w:p>
    <w:p w:rsidR="00574DAE" w:rsidRPr="00D9754A" w:rsidRDefault="00735DBB" w:rsidP="00735DBB">
      <w:pPr>
        <w:pStyle w:val="ListParagraph"/>
        <w:numPr>
          <w:ilvl w:val="0"/>
          <w:numId w:val="16"/>
        </w:numPr>
        <w:ind w:left="1134" w:hanging="567"/>
        <w:jc w:val="both"/>
        <w:rPr>
          <w:rFonts w:asciiTheme="minorHAnsi" w:hAnsiTheme="minorHAnsi" w:cstheme="minorHAnsi"/>
        </w:rPr>
      </w:pPr>
      <w:r w:rsidRPr="00D9754A">
        <w:rPr>
          <w:rFonts w:asciiTheme="minorHAnsi" w:hAnsiTheme="minorHAnsi" w:cstheme="minorHAnsi"/>
          <w:iCs/>
        </w:rPr>
        <w:t>d</w:t>
      </w:r>
      <w:r w:rsidR="00574DAE" w:rsidRPr="00D9754A">
        <w:rPr>
          <w:rFonts w:asciiTheme="minorHAnsi" w:hAnsiTheme="minorHAnsi" w:cstheme="minorHAnsi"/>
          <w:iCs/>
        </w:rPr>
        <w:t>etails of current consumer awareness campaigns</w:t>
      </w:r>
      <w:r w:rsidR="007C5263">
        <w:rPr>
          <w:rFonts w:asciiTheme="minorHAnsi" w:hAnsiTheme="minorHAnsi" w:cstheme="minorHAnsi"/>
          <w:iCs/>
        </w:rPr>
        <w:t xml:space="preserve">, </w:t>
      </w:r>
      <w:r w:rsidR="00574DAE" w:rsidRPr="00D9754A">
        <w:rPr>
          <w:rFonts w:asciiTheme="minorHAnsi" w:hAnsiTheme="minorHAnsi" w:cstheme="minorHAnsi"/>
          <w:iCs/>
        </w:rPr>
        <w:t xml:space="preserve"> education drives and the target markets and audiences (relevance to Section 13 (a) and Section 72 (1) of the </w:t>
      </w:r>
      <w:r w:rsidRPr="00D9754A">
        <w:rPr>
          <w:rFonts w:asciiTheme="minorHAnsi" w:hAnsiTheme="minorHAnsi" w:cstheme="minorHAnsi"/>
          <w:iCs/>
        </w:rPr>
        <w:t>Act);</w:t>
      </w:r>
    </w:p>
    <w:p w:rsidR="00574DAE" w:rsidRPr="00D9754A" w:rsidRDefault="000554CF" w:rsidP="000554CF">
      <w:pPr>
        <w:pStyle w:val="ListParagraph"/>
        <w:numPr>
          <w:ilvl w:val="0"/>
          <w:numId w:val="16"/>
        </w:numPr>
        <w:ind w:left="1134" w:hanging="567"/>
        <w:jc w:val="both"/>
        <w:rPr>
          <w:rFonts w:asciiTheme="minorHAnsi" w:hAnsiTheme="minorHAnsi" w:cstheme="minorHAnsi"/>
        </w:rPr>
      </w:pPr>
      <w:proofErr w:type="gramStart"/>
      <w:r w:rsidRPr="00D9754A">
        <w:rPr>
          <w:rFonts w:asciiTheme="minorHAnsi" w:hAnsiTheme="minorHAnsi" w:cstheme="minorHAnsi"/>
        </w:rPr>
        <w:t>p</w:t>
      </w:r>
      <w:r w:rsidR="00574DAE" w:rsidRPr="00D9754A">
        <w:rPr>
          <w:rFonts w:asciiTheme="minorHAnsi" w:hAnsiTheme="minorHAnsi" w:cstheme="minorHAnsi"/>
        </w:rPr>
        <w:t>resent</w:t>
      </w:r>
      <w:proofErr w:type="gramEnd"/>
      <w:r w:rsidR="00574DAE" w:rsidRPr="00D9754A">
        <w:rPr>
          <w:rFonts w:asciiTheme="minorHAnsi" w:hAnsiTheme="minorHAnsi" w:cstheme="minorHAnsi"/>
        </w:rPr>
        <w:t xml:space="preserve"> and future client base.</w:t>
      </w:r>
    </w:p>
    <w:p w:rsidR="00574DAE" w:rsidRPr="007C5263" w:rsidRDefault="00735DBB" w:rsidP="0008498A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  <w:bCs/>
          <w:u w:val="single"/>
        </w:rPr>
        <w:t>Data</w:t>
      </w:r>
      <w:r w:rsidRPr="007C5263">
        <w:rPr>
          <w:rFonts w:asciiTheme="minorHAnsi" w:hAnsiTheme="minorHAnsi" w:cstheme="minorHAnsi"/>
          <w:bCs/>
        </w:rPr>
        <w:t>:</w:t>
      </w:r>
      <w:r w:rsidR="00574DAE" w:rsidRPr="007C5263">
        <w:rPr>
          <w:rFonts w:asciiTheme="minorHAnsi" w:hAnsiTheme="minorHAnsi" w:cstheme="minorHAnsi"/>
          <w:bCs/>
        </w:rPr>
        <w:t xml:space="preserve"> </w:t>
      </w:r>
      <w:r w:rsidR="00574DAE" w:rsidRPr="007C5263">
        <w:rPr>
          <w:rFonts w:asciiTheme="minorHAnsi" w:hAnsiTheme="minorHAnsi" w:cstheme="minorHAnsi"/>
          <w:iCs/>
        </w:rPr>
        <w:t xml:space="preserve">An overview of the </w:t>
      </w:r>
      <w:r w:rsidRPr="007C5263">
        <w:rPr>
          <w:rFonts w:asciiTheme="minorHAnsi" w:hAnsiTheme="minorHAnsi" w:cstheme="minorHAnsi"/>
          <w:iCs/>
        </w:rPr>
        <w:t>organisation</w:t>
      </w:r>
      <w:r w:rsidR="00574DAE" w:rsidRPr="007C5263">
        <w:rPr>
          <w:rFonts w:asciiTheme="minorHAnsi" w:hAnsiTheme="minorHAnsi" w:cstheme="minorHAnsi"/>
          <w:iCs/>
        </w:rPr>
        <w:t>’s str</w:t>
      </w:r>
      <w:r w:rsidR="007C5263" w:rsidRPr="007C5263">
        <w:rPr>
          <w:rFonts w:asciiTheme="minorHAnsi" w:hAnsiTheme="minorHAnsi" w:cstheme="minorHAnsi"/>
          <w:iCs/>
        </w:rPr>
        <w:t xml:space="preserve">ategy and processes around </w:t>
      </w:r>
      <w:r w:rsidR="00B474F7">
        <w:rPr>
          <w:iCs/>
        </w:rPr>
        <w:t>retrieving</w:t>
      </w:r>
      <w:r w:rsidR="00B474F7" w:rsidRPr="007C5263">
        <w:rPr>
          <w:rFonts w:asciiTheme="minorHAnsi" w:hAnsiTheme="minorHAnsi" w:cstheme="minorHAnsi"/>
          <w:iCs/>
        </w:rPr>
        <w:t xml:space="preserve"> </w:t>
      </w:r>
      <w:r w:rsidR="007C5263" w:rsidRPr="007C5263">
        <w:rPr>
          <w:rFonts w:asciiTheme="minorHAnsi" w:hAnsiTheme="minorHAnsi" w:cstheme="minorHAnsi"/>
          <w:iCs/>
        </w:rPr>
        <w:t>data from other sources</w:t>
      </w:r>
      <w:r w:rsidR="00197A1D">
        <w:rPr>
          <w:rFonts w:asciiTheme="minorHAnsi" w:hAnsiTheme="minorHAnsi" w:cstheme="minorHAnsi"/>
          <w:iCs/>
        </w:rPr>
        <w:t xml:space="preserve"> such as </w:t>
      </w:r>
      <w:proofErr w:type="spellStart"/>
      <w:r w:rsidR="00197A1D" w:rsidRPr="007C5263">
        <w:rPr>
          <w:rFonts w:asciiTheme="minorHAnsi" w:hAnsiTheme="minorHAnsi" w:cstheme="minorHAnsi"/>
        </w:rPr>
        <w:t>TransUnion</w:t>
      </w:r>
      <w:proofErr w:type="spellEnd"/>
      <w:r w:rsidR="00197A1D" w:rsidRPr="007C5263">
        <w:rPr>
          <w:rFonts w:asciiTheme="minorHAnsi" w:hAnsiTheme="minorHAnsi" w:cstheme="minorHAnsi"/>
        </w:rPr>
        <w:t>/Experian/XDS</w:t>
      </w:r>
      <w:r w:rsidR="00197A1D">
        <w:rPr>
          <w:rFonts w:asciiTheme="minorHAnsi" w:hAnsiTheme="minorHAnsi" w:cstheme="minorHAnsi"/>
        </w:rPr>
        <w:t xml:space="preserve">. </w:t>
      </w:r>
    </w:p>
    <w:p w:rsidR="00574DAE" w:rsidRPr="007C5263" w:rsidRDefault="008273E0" w:rsidP="008273E0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  <w:iCs/>
        </w:rPr>
        <w:t>d</w:t>
      </w:r>
      <w:r w:rsidR="00574DAE" w:rsidRPr="007C5263">
        <w:rPr>
          <w:rFonts w:asciiTheme="minorHAnsi" w:hAnsiTheme="minorHAnsi" w:cstheme="minorHAnsi"/>
          <w:iCs/>
        </w:rPr>
        <w:t>ata sources, verification &amp; validation policies, processes and process mapping around the following:</w:t>
      </w:r>
    </w:p>
    <w:p w:rsidR="008273E0" w:rsidRPr="007C5263" w:rsidRDefault="00574DAE" w:rsidP="008273E0">
      <w:pPr>
        <w:pStyle w:val="ListParagraph"/>
        <w:numPr>
          <w:ilvl w:val="1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  <w:iCs/>
        </w:rPr>
        <w:t xml:space="preserve">Loading of the data; </w:t>
      </w:r>
    </w:p>
    <w:p w:rsidR="008273E0" w:rsidRPr="007C5263" w:rsidRDefault="00574DAE" w:rsidP="008273E0">
      <w:pPr>
        <w:pStyle w:val="ListParagraph"/>
        <w:numPr>
          <w:ilvl w:val="1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  <w:iCs/>
        </w:rPr>
        <w:t xml:space="preserve">Storage of data; </w:t>
      </w:r>
    </w:p>
    <w:p w:rsidR="008273E0" w:rsidRPr="007C5263" w:rsidRDefault="00574DAE" w:rsidP="008273E0">
      <w:pPr>
        <w:pStyle w:val="ListParagraph"/>
        <w:numPr>
          <w:ilvl w:val="1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  <w:iCs/>
        </w:rPr>
        <w:t>Data suppliers (relevance to Regulation 17, 18, 19, 20</w:t>
      </w:r>
      <w:r w:rsidR="007C5263" w:rsidRPr="007C5263">
        <w:rPr>
          <w:rFonts w:asciiTheme="minorHAnsi" w:hAnsiTheme="minorHAnsi" w:cstheme="minorHAnsi"/>
          <w:iCs/>
        </w:rPr>
        <w:t xml:space="preserve">, </w:t>
      </w:r>
      <w:r w:rsidRPr="007C5263">
        <w:rPr>
          <w:rFonts w:asciiTheme="minorHAnsi" w:hAnsiTheme="minorHAnsi" w:cstheme="minorHAnsi"/>
          <w:iCs/>
        </w:rPr>
        <w:t xml:space="preserve"> Section 70 (2), (3), Section 71 and Section 72 of the National Credit Act)</w:t>
      </w:r>
      <w:r w:rsidR="008273E0" w:rsidRPr="007C5263">
        <w:rPr>
          <w:rFonts w:asciiTheme="minorHAnsi" w:hAnsiTheme="minorHAnsi" w:cstheme="minorHAnsi"/>
          <w:iCs/>
        </w:rPr>
        <w:t>;</w:t>
      </w:r>
    </w:p>
    <w:p w:rsidR="007C5263" w:rsidRPr="007C5263" w:rsidRDefault="00574DAE" w:rsidP="007C5263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7C5263">
        <w:rPr>
          <w:rFonts w:asciiTheme="minorHAnsi" w:hAnsiTheme="minorHAnsi" w:cstheme="minorHAnsi"/>
        </w:rPr>
        <w:t xml:space="preserve">a policy and procedure document highlighting where </w:t>
      </w:r>
      <w:r w:rsidR="008273E0" w:rsidRPr="007C5263">
        <w:rPr>
          <w:rFonts w:asciiTheme="minorHAnsi" w:hAnsiTheme="minorHAnsi" w:cstheme="minorHAnsi"/>
        </w:rPr>
        <w:t xml:space="preserve">the </w:t>
      </w:r>
      <w:r w:rsidRPr="007C5263">
        <w:rPr>
          <w:rFonts w:asciiTheme="minorHAnsi" w:hAnsiTheme="minorHAnsi" w:cstheme="minorHAnsi"/>
          <w:i/>
        </w:rPr>
        <w:t>onus</w:t>
      </w:r>
      <w:r w:rsidRPr="007C5263">
        <w:rPr>
          <w:rFonts w:asciiTheme="minorHAnsi" w:hAnsiTheme="minorHAnsi" w:cstheme="minorHAnsi"/>
        </w:rPr>
        <w:t xml:space="preserve"> lies concerning this data</w:t>
      </w:r>
      <w:r w:rsidR="00BC778A">
        <w:rPr>
          <w:rFonts w:asciiTheme="minorHAnsi" w:hAnsiTheme="minorHAnsi" w:cstheme="minorHAnsi"/>
        </w:rPr>
        <w:t>;</w:t>
      </w:r>
    </w:p>
    <w:p w:rsidR="007C5263" w:rsidRPr="007C5263" w:rsidRDefault="00197A1D" w:rsidP="007C5263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r w:rsidR="007C5263" w:rsidRPr="007C5263">
        <w:rPr>
          <w:rFonts w:asciiTheme="minorHAnsi" w:hAnsiTheme="minorHAnsi" w:cstheme="minorHAnsi"/>
        </w:rPr>
        <w:t>ontractual</w:t>
      </w:r>
      <w:proofErr w:type="gramEnd"/>
      <w:r w:rsidR="007C5263" w:rsidRPr="007C5263">
        <w:rPr>
          <w:rFonts w:asciiTheme="minorHAnsi" w:hAnsiTheme="minorHAnsi" w:cstheme="minorHAnsi"/>
        </w:rPr>
        <w:t xml:space="preserve"> obligations and the sample of the data must be provided.</w:t>
      </w:r>
    </w:p>
    <w:p w:rsidR="00574DAE" w:rsidRPr="00D9754A" w:rsidRDefault="00574DAE" w:rsidP="007C5263">
      <w:pPr>
        <w:pStyle w:val="ListParagraph"/>
        <w:spacing w:after="0" w:line="240" w:lineRule="auto"/>
        <w:ind w:left="1134"/>
        <w:jc w:val="both"/>
        <w:rPr>
          <w:rFonts w:asciiTheme="minorHAnsi" w:hAnsiTheme="minorHAnsi" w:cstheme="minorHAnsi"/>
        </w:rPr>
      </w:pPr>
    </w:p>
    <w:p w:rsidR="00574DAE" w:rsidRPr="00D9754A" w:rsidRDefault="00463A77" w:rsidP="000849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Report in the manner and form in respect of </w:t>
      </w:r>
      <w:r w:rsidR="00CC07D2">
        <w:rPr>
          <w:rFonts w:asciiTheme="minorHAnsi" w:hAnsiTheme="minorHAnsi" w:cstheme="minorHAnsi"/>
        </w:rPr>
        <w:t>credit bureaux</w:t>
      </w:r>
      <w:r w:rsidR="003C75CB">
        <w:rPr>
          <w:rFonts w:asciiTheme="minorHAnsi" w:hAnsiTheme="minorHAnsi" w:cstheme="minorHAnsi"/>
        </w:rPr>
        <w:t xml:space="preserve"> </w:t>
      </w:r>
      <w:r w:rsidR="003C75CB" w:rsidRPr="00D9754A">
        <w:rPr>
          <w:rFonts w:asciiTheme="minorHAnsi" w:hAnsiTheme="minorHAnsi" w:cstheme="minorHAnsi"/>
        </w:rPr>
        <w:t>reporting</w:t>
      </w:r>
      <w:r w:rsidR="008273E0" w:rsidRPr="00D9754A">
        <w:rPr>
          <w:rFonts w:asciiTheme="minorHAnsi" w:hAnsiTheme="minorHAnsi" w:cstheme="minorHAnsi"/>
        </w:rPr>
        <w:t xml:space="preserve"> requirements as stipulated </w:t>
      </w:r>
      <w:r w:rsidR="008273E0" w:rsidRPr="007C5263">
        <w:rPr>
          <w:rFonts w:asciiTheme="minorHAnsi" w:hAnsiTheme="minorHAnsi" w:cstheme="minorHAnsi"/>
        </w:rPr>
        <w:t>in R</w:t>
      </w:r>
      <w:r w:rsidR="00574DAE" w:rsidRPr="007C5263">
        <w:rPr>
          <w:rFonts w:asciiTheme="minorHAnsi" w:hAnsiTheme="minorHAnsi" w:cstheme="minorHAnsi"/>
        </w:rPr>
        <w:t>egulations</w:t>
      </w:r>
      <w:r w:rsidR="00574DAE" w:rsidRPr="00D9754A">
        <w:rPr>
          <w:rFonts w:asciiTheme="minorHAnsi" w:hAnsiTheme="minorHAnsi" w:cstheme="minorHAnsi"/>
        </w:rPr>
        <w:t xml:space="preserve"> 70 and 71</w:t>
      </w:r>
      <w:r w:rsidR="008273E0" w:rsidRPr="00D9754A">
        <w:rPr>
          <w:rFonts w:asciiTheme="minorHAnsi" w:hAnsiTheme="minorHAnsi" w:cstheme="minorHAnsi"/>
        </w:rPr>
        <w:t xml:space="preserve"> of the Act</w:t>
      </w:r>
      <w:r w:rsidR="003C75CB">
        <w:rPr>
          <w:rFonts w:asciiTheme="minorHAnsi" w:hAnsiTheme="minorHAnsi" w:cstheme="minorHAnsi"/>
        </w:rPr>
        <w:t>.</w:t>
      </w:r>
    </w:p>
    <w:p w:rsidR="008273E0" w:rsidRDefault="008273E0" w:rsidP="004B4973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D62929" w:rsidRPr="00222B21" w:rsidRDefault="00D62929" w:rsidP="00D62929">
      <w:pPr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222B21">
        <w:rPr>
          <w:rFonts w:asciiTheme="minorHAnsi" w:hAnsiTheme="minorHAnsi" w:cstheme="minorHAnsi"/>
          <w:b/>
          <w:bCs/>
          <w:lang w:val="en-US"/>
        </w:rPr>
        <w:t xml:space="preserve">The appointed auditor must conduct an audit on the applicant and provide an independent assurance report to the NCR on whether or not the applicant meets the </w:t>
      </w:r>
      <w:r w:rsidR="00CC07D2">
        <w:rPr>
          <w:rFonts w:asciiTheme="minorHAnsi" w:hAnsiTheme="minorHAnsi" w:cstheme="minorHAnsi"/>
          <w:b/>
          <w:bCs/>
          <w:lang w:val="en-US"/>
        </w:rPr>
        <w:t xml:space="preserve">above </w:t>
      </w:r>
      <w:r w:rsidR="00CC07D2" w:rsidRPr="00222B21">
        <w:rPr>
          <w:rFonts w:asciiTheme="minorHAnsi" w:hAnsiTheme="minorHAnsi" w:cstheme="minorHAnsi"/>
          <w:b/>
          <w:bCs/>
          <w:lang w:val="en-US"/>
        </w:rPr>
        <w:t>summarized</w:t>
      </w:r>
      <w:r w:rsidRPr="00222B21">
        <w:rPr>
          <w:rFonts w:asciiTheme="minorHAnsi" w:hAnsiTheme="minorHAnsi" w:cstheme="minorHAnsi"/>
          <w:b/>
          <w:bCs/>
          <w:lang w:val="en-US"/>
        </w:rPr>
        <w:t xml:space="preserve"> minimum set criteria:</w:t>
      </w:r>
    </w:p>
    <w:p w:rsidR="00FB02F5" w:rsidRDefault="00FB02F5" w:rsidP="004B4973">
      <w:pPr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sectPr w:rsidR="00FB02F5" w:rsidSect="00407B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A9" w:rsidRDefault="00D758A9" w:rsidP="00574DAE">
      <w:pPr>
        <w:spacing w:after="0" w:line="240" w:lineRule="auto"/>
      </w:pPr>
      <w:r>
        <w:separator/>
      </w:r>
    </w:p>
  </w:endnote>
  <w:endnote w:type="continuationSeparator" w:id="0">
    <w:p w:rsidR="00D758A9" w:rsidRDefault="00D758A9" w:rsidP="0057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786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FAA" w:rsidRDefault="00297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6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7FAA" w:rsidRDefault="00297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A9" w:rsidRDefault="00D758A9" w:rsidP="00574DAE">
      <w:pPr>
        <w:spacing w:after="0" w:line="240" w:lineRule="auto"/>
      </w:pPr>
      <w:r>
        <w:separator/>
      </w:r>
    </w:p>
  </w:footnote>
  <w:footnote w:type="continuationSeparator" w:id="0">
    <w:p w:rsidR="00D758A9" w:rsidRDefault="00D758A9" w:rsidP="00574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966"/>
    <w:multiLevelType w:val="hybridMultilevel"/>
    <w:tmpl w:val="34E46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C90E9A"/>
    <w:multiLevelType w:val="hybridMultilevel"/>
    <w:tmpl w:val="A7724EC6"/>
    <w:lvl w:ilvl="0" w:tplc="A4CE172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534D5"/>
    <w:multiLevelType w:val="hybridMultilevel"/>
    <w:tmpl w:val="14D24172"/>
    <w:lvl w:ilvl="0" w:tplc="C554D5BE">
      <w:start w:val="1"/>
      <w:numFmt w:val="lowerRoman"/>
      <w:lvlText w:val="(%1)"/>
      <w:lvlJc w:val="left"/>
      <w:pPr>
        <w:ind w:left="928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65E3"/>
    <w:multiLevelType w:val="hybridMultilevel"/>
    <w:tmpl w:val="CB309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51171"/>
    <w:multiLevelType w:val="hybridMultilevel"/>
    <w:tmpl w:val="AAE46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EE2FB9"/>
    <w:multiLevelType w:val="hybridMultilevel"/>
    <w:tmpl w:val="049405F4"/>
    <w:lvl w:ilvl="0" w:tplc="A4CE172E">
      <w:start w:val="1"/>
      <w:numFmt w:val="lowerRoman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0ED4026A"/>
    <w:multiLevelType w:val="hybridMultilevel"/>
    <w:tmpl w:val="A0288F32"/>
    <w:lvl w:ilvl="0" w:tplc="E10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520D8"/>
    <w:multiLevelType w:val="hybridMultilevel"/>
    <w:tmpl w:val="32C047AC"/>
    <w:lvl w:ilvl="0" w:tplc="251AD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1DA2"/>
    <w:multiLevelType w:val="hybridMultilevel"/>
    <w:tmpl w:val="17CE8008"/>
    <w:lvl w:ilvl="0" w:tplc="E10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0258F"/>
    <w:multiLevelType w:val="hybridMultilevel"/>
    <w:tmpl w:val="31A4C5F0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50FC7"/>
    <w:multiLevelType w:val="hybridMultilevel"/>
    <w:tmpl w:val="D43CA4E6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A4F62"/>
    <w:multiLevelType w:val="hybridMultilevel"/>
    <w:tmpl w:val="E19241AE"/>
    <w:lvl w:ilvl="0" w:tplc="8D8465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CA8"/>
    <w:multiLevelType w:val="hybridMultilevel"/>
    <w:tmpl w:val="832EE3EA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B1C25"/>
    <w:multiLevelType w:val="hybridMultilevel"/>
    <w:tmpl w:val="6CD23B1E"/>
    <w:lvl w:ilvl="0" w:tplc="A4CE172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C87D64"/>
    <w:multiLevelType w:val="hybridMultilevel"/>
    <w:tmpl w:val="64662B68"/>
    <w:lvl w:ilvl="0" w:tplc="80A48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86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26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4D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8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2E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45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E8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E4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7B1AF2"/>
    <w:multiLevelType w:val="hybridMultilevel"/>
    <w:tmpl w:val="B37AC36A"/>
    <w:lvl w:ilvl="0" w:tplc="97ECE5D4">
      <w:start w:val="27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C15B76"/>
    <w:multiLevelType w:val="hybridMultilevel"/>
    <w:tmpl w:val="CE2A97CE"/>
    <w:lvl w:ilvl="0" w:tplc="E10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28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2E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43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0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C7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E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C1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9F32ACE"/>
    <w:multiLevelType w:val="hybridMultilevel"/>
    <w:tmpl w:val="95A44234"/>
    <w:lvl w:ilvl="0" w:tplc="A4CE172E">
      <w:start w:val="1"/>
      <w:numFmt w:val="lowerRoman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>
    <w:nsid w:val="4A433F57"/>
    <w:multiLevelType w:val="hybridMultilevel"/>
    <w:tmpl w:val="09F69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807138"/>
    <w:multiLevelType w:val="multilevel"/>
    <w:tmpl w:val="4E020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06B5BB6"/>
    <w:multiLevelType w:val="hybridMultilevel"/>
    <w:tmpl w:val="F8EE4594"/>
    <w:lvl w:ilvl="0" w:tplc="C554D5BE">
      <w:start w:val="1"/>
      <w:numFmt w:val="lowerRoman"/>
      <w:lvlText w:val="(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B0187"/>
    <w:multiLevelType w:val="hybridMultilevel"/>
    <w:tmpl w:val="A804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926CC"/>
    <w:multiLevelType w:val="hybridMultilevel"/>
    <w:tmpl w:val="2F369914"/>
    <w:lvl w:ilvl="0" w:tplc="E10C46A4">
      <w:start w:val="1"/>
      <w:numFmt w:val="bullet"/>
      <w:lvlText w:val="•"/>
      <w:lvlJc w:val="left"/>
      <w:pPr>
        <w:ind w:left="425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3">
    <w:nsid w:val="56C86CF5"/>
    <w:multiLevelType w:val="hybridMultilevel"/>
    <w:tmpl w:val="4B54342E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65FA"/>
    <w:multiLevelType w:val="hybridMultilevel"/>
    <w:tmpl w:val="BA12F350"/>
    <w:lvl w:ilvl="0" w:tplc="A5F895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A34DA"/>
    <w:multiLevelType w:val="hybridMultilevel"/>
    <w:tmpl w:val="D5A484BA"/>
    <w:lvl w:ilvl="0" w:tplc="A4CE172E">
      <w:start w:val="1"/>
      <w:numFmt w:val="lowerRoman"/>
      <w:lvlText w:val="(%1)"/>
      <w:lvlJc w:val="left"/>
      <w:pPr>
        <w:ind w:left="-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6">
    <w:nsid w:val="5F4065B8"/>
    <w:multiLevelType w:val="hybridMultilevel"/>
    <w:tmpl w:val="BEE03A94"/>
    <w:lvl w:ilvl="0" w:tplc="74F6A7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585426"/>
    <w:multiLevelType w:val="hybridMultilevel"/>
    <w:tmpl w:val="B0F4F8CC"/>
    <w:lvl w:ilvl="0" w:tplc="2BCA53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A2200"/>
    <w:multiLevelType w:val="hybridMultilevel"/>
    <w:tmpl w:val="47BC8D00"/>
    <w:lvl w:ilvl="0" w:tplc="E10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90E44"/>
    <w:multiLevelType w:val="hybridMultilevel"/>
    <w:tmpl w:val="47702306"/>
    <w:lvl w:ilvl="0" w:tplc="88B64E0A">
      <w:start w:val="27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253635"/>
    <w:multiLevelType w:val="hybridMultilevel"/>
    <w:tmpl w:val="84F427C0"/>
    <w:lvl w:ilvl="0" w:tplc="A4CE172E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900F4"/>
    <w:multiLevelType w:val="multilevel"/>
    <w:tmpl w:val="17DE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D0F23D3"/>
    <w:multiLevelType w:val="hybridMultilevel"/>
    <w:tmpl w:val="238C2918"/>
    <w:lvl w:ilvl="0" w:tplc="A4CE172E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048C9"/>
    <w:multiLevelType w:val="hybridMultilevel"/>
    <w:tmpl w:val="86D64FC2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54DF0"/>
    <w:multiLevelType w:val="hybridMultilevel"/>
    <w:tmpl w:val="6F78C734"/>
    <w:lvl w:ilvl="0" w:tplc="E10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4553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717558D9"/>
    <w:multiLevelType w:val="hybridMultilevel"/>
    <w:tmpl w:val="A8207DDC"/>
    <w:lvl w:ilvl="0" w:tplc="E10C46A4">
      <w:start w:val="1"/>
      <w:numFmt w:val="bullet"/>
      <w:lvlText w:val="•"/>
      <w:lvlJc w:val="left"/>
      <w:pPr>
        <w:tabs>
          <w:tab w:val="num" w:pos="753"/>
        </w:tabs>
        <w:ind w:left="753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73497ED1"/>
    <w:multiLevelType w:val="hybridMultilevel"/>
    <w:tmpl w:val="247C2AD0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E3411"/>
    <w:multiLevelType w:val="hybridMultilevel"/>
    <w:tmpl w:val="AF5CD6F0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E5D83"/>
    <w:multiLevelType w:val="hybridMultilevel"/>
    <w:tmpl w:val="0860BB1E"/>
    <w:lvl w:ilvl="0" w:tplc="E10C46A4">
      <w:start w:val="1"/>
      <w:numFmt w:val="bullet"/>
      <w:lvlText w:val="•"/>
      <w:lvlJc w:val="left"/>
      <w:pPr>
        <w:tabs>
          <w:tab w:val="num" w:pos="425"/>
        </w:tabs>
        <w:ind w:left="425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>
    <w:nsid w:val="75CA193F"/>
    <w:multiLevelType w:val="hybridMultilevel"/>
    <w:tmpl w:val="DB5AAF28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239BC"/>
    <w:multiLevelType w:val="hybridMultilevel"/>
    <w:tmpl w:val="F87AFCC8"/>
    <w:lvl w:ilvl="0" w:tplc="A4CE17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E5369"/>
    <w:multiLevelType w:val="hybridMultilevel"/>
    <w:tmpl w:val="75EAEF30"/>
    <w:lvl w:ilvl="0" w:tplc="BE44B3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41"/>
  </w:num>
  <w:num w:numId="4">
    <w:abstractNumId w:val="18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9"/>
  </w:num>
  <w:num w:numId="10">
    <w:abstractNumId w:val="10"/>
  </w:num>
  <w:num w:numId="11">
    <w:abstractNumId w:val="23"/>
  </w:num>
  <w:num w:numId="12">
    <w:abstractNumId w:val="2"/>
  </w:num>
  <w:num w:numId="13">
    <w:abstractNumId w:val="33"/>
  </w:num>
  <w:num w:numId="14">
    <w:abstractNumId w:val="25"/>
  </w:num>
  <w:num w:numId="15">
    <w:abstractNumId w:val="37"/>
  </w:num>
  <w:num w:numId="16">
    <w:abstractNumId w:val="38"/>
  </w:num>
  <w:num w:numId="17">
    <w:abstractNumId w:val="30"/>
  </w:num>
  <w:num w:numId="18">
    <w:abstractNumId w:val="0"/>
  </w:num>
  <w:num w:numId="19">
    <w:abstractNumId w:val="11"/>
  </w:num>
  <w:num w:numId="20">
    <w:abstractNumId w:val="7"/>
  </w:num>
  <w:num w:numId="21">
    <w:abstractNumId w:val="24"/>
  </w:num>
  <w:num w:numId="22">
    <w:abstractNumId w:val="15"/>
  </w:num>
  <w:num w:numId="23">
    <w:abstractNumId w:val="29"/>
  </w:num>
  <w:num w:numId="24">
    <w:abstractNumId w:val="27"/>
  </w:num>
  <w:num w:numId="25">
    <w:abstractNumId w:val="14"/>
  </w:num>
  <w:num w:numId="26">
    <w:abstractNumId w:val="16"/>
  </w:num>
  <w:num w:numId="27">
    <w:abstractNumId w:val="34"/>
  </w:num>
  <w:num w:numId="28">
    <w:abstractNumId w:val="28"/>
  </w:num>
  <w:num w:numId="29">
    <w:abstractNumId w:val="39"/>
  </w:num>
  <w:num w:numId="30">
    <w:abstractNumId w:val="6"/>
  </w:num>
  <w:num w:numId="31">
    <w:abstractNumId w:val="36"/>
  </w:num>
  <w:num w:numId="32">
    <w:abstractNumId w:val="8"/>
  </w:num>
  <w:num w:numId="33">
    <w:abstractNumId w:val="3"/>
  </w:num>
  <w:num w:numId="34">
    <w:abstractNumId w:val="4"/>
  </w:num>
  <w:num w:numId="35">
    <w:abstractNumId w:val="22"/>
  </w:num>
  <w:num w:numId="36">
    <w:abstractNumId w:val="26"/>
  </w:num>
  <w:num w:numId="37">
    <w:abstractNumId w:val="17"/>
  </w:num>
  <w:num w:numId="38">
    <w:abstractNumId w:val="20"/>
  </w:num>
  <w:num w:numId="39">
    <w:abstractNumId w:val="35"/>
  </w:num>
  <w:num w:numId="40">
    <w:abstractNumId w:val="19"/>
  </w:num>
  <w:num w:numId="41">
    <w:abstractNumId w:val="21"/>
  </w:num>
  <w:num w:numId="42">
    <w:abstractNumId w:val="3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E"/>
    <w:rsid w:val="00001ADF"/>
    <w:rsid w:val="000554CF"/>
    <w:rsid w:val="0007134D"/>
    <w:rsid w:val="00073A36"/>
    <w:rsid w:val="0008498A"/>
    <w:rsid w:val="000A692C"/>
    <w:rsid w:val="00156607"/>
    <w:rsid w:val="00197A1D"/>
    <w:rsid w:val="001D3CED"/>
    <w:rsid w:val="001F64FE"/>
    <w:rsid w:val="0021247C"/>
    <w:rsid w:val="00222B21"/>
    <w:rsid w:val="00241BCF"/>
    <w:rsid w:val="00246FAD"/>
    <w:rsid w:val="002835BE"/>
    <w:rsid w:val="00291237"/>
    <w:rsid w:val="00297FAA"/>
    <w:rsid w:val="002F4BFC"/>
    <w:rsid w:val="00320643"/>
    <w:rsid w:val="00365B38"/>
    <w:rsid w:val="003769CF"/>
    <w:rsid w:val="003B7E1D"/>
    <w:rsid w:val="003C75CB"/>
    <w:rsid w:val="00407B0D"/>
    <w:rsid w:val="00436378"/>
    <w:rsid w:val="0045177A"/>
    <w:rsid w:val="00462639"/>
    <w:rsid w:val="00463A77"/>
    <w:rsid w:val="00482A6D"/>
    <w:rsid w:val="004A3BD9"/>
    <w:rsid w:val="004B2A59"/>
    <w:rsid w:val="004B4973"/>
    <w:rsid w:val="004C5989"/>
    <w:rsid w:val="004F769B"/>
    <w:rsid w:val="00522071"/>
    <w:rsid w:val="005460A7"/>
    <w:rsid w:val="00574DAE"/>
    <w:rsid w:val="005C1DEB"/>
    <w:rsid w:val="005C5BAB"/>
    <w:rsid w:val="00605C70"/>
    <w:rsid w:val="006467E3"/>
    <w:rsid w:val="00654214"/>
    <w:rsid w:val="00663995"/>
    <w:rsid w:val="006842DB"/>
    <w:rsid w:val="00694819"/>
    <w:rsid w:val="006D3CB8"/>
    <w:rsid w:val="006F4185"/>
    <w:rsid w:val="006F42FB"/>
    <w:rsid w:val="006F6874"/>
    <w:rsid w:val="00735DBB"/>
    <w:rsid w:val="00776E93"/>
    <w:rsid w:val="007A68B6"/>
    <w:rsid w:val="007B5D34"/>
    <w:rsid w:val="007C5263"/>
    <w:rsid w:val="00801F0B"/>
    <w:rsid w:val="008127FC"/>
    <w:rsid w:val="008273E0"/>
    <w:rsid w:val="00827702"/>
    <w:rsid w:val="008D03EB"/>
    <w:rsid w:val="008F10A6"/>
    <w:rsid w:val="00935635"/>
    <w:rsid w:val="00953A54"/>
    <w:rsid w:val="009600B7"/>
    <w:rsid w:val="00976F3A"/>
    <w:rsid w:val="009A28B7"/>
    <w:rsid w:val="009B16CB"/>
    <w:rsid w:val="009C66C0"/>
    <w:rsid w:val="009D2C97"/>
    <w:rsid w:val="009E05B4"/>
    <w:rsid w:val="00A30FC3"/>
    <w:rsid w:val="00A41698"/>
    <w:rsid w:val="00A91337"/>
    <w:rsid w:val="00AA6A39"/>
    <w:rsid w:val="00B104E8"/>
    <w:rsid w:val="00B13062"/>
    <w:rsid w:val="00B3742C"/>
    <w:rsid w:val="00B45606"/>
    <w:rsid w:val="00B474F7"/>
    <w:rsid w:val="00B5285F"/>
    <w:rsid w:val="00B564B5"/>
    <w:rsid w:val="00BC778A"/>
    <w:rsid w:val="00BD4E90"/>
    <w:rsid w:val="00C20F95"/>
    <w:rsid w:val="00C25A68"/>
    <w:rsid w:val="00C27B2C"/>
    <w:rsid w:val="00C675CA"/>
    <w:rsid w:val="00C80F1B"/>
    <w:rsid w:val="00C86FF9"/>
    <w:rsid w:val="00C90F3A"/>
    <w:rsid w:val="00C94A13"/>
    <w:rsid w:val="00CC07D2"/>
    <w:rsid w:val="00CC37C4"/>
    <w:rsid w:val="00CF6FA9"/>
    <w:rsid w:val="00D03EB0"/>
    <w:rsid w:val="00D37A8E"/>
    <w:rsid w:val="00D4025B"/>
    <w:rsid w:val="00D479A8"/>
    <w:rsid w:val="00D62553"/>
    <w:rsid w:val="00D62929"/>
    <w:rsid w:val="00D758A9"/>
    <w:rsid w:val="00D80224"/>
    <w:rsid w:val="00D9754A"/>
    <w:rsid w:val="00DE5509"/>
    <w:rsid w:val="00DF066B"/>
    <w:rsid w:val="00E03382"/>
    <w:rsid w:val="00E42429"/>
    <w:rsid w:val="00E43215"/>
    <w:rsid w:val="00E57694"/>
    <w:rsid w:val="00E64AF3"/>
    <w:rsid w:val="00E90011"/>
    <w:rsid w:val="00EA0474"/>
    <w:rsid w:val="00F876D2"/>
    <w:rsid w:val="00FA2622"/>
    <w:rsid w:val="00FB02F5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C2D40-7D02-4423-8159-56AE777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E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DAE"/>
    <w:pPr>
      <w:ind w:left="720"/>
      <w:contextualSpacing/>
    </w:pPr>
  </w:style>
  <w:style w:type="table" w:customStyle="1" w:styleId="MediumGrid3-Accent11">
    <w:name w:val="Medium Grid 3 - Accent 11"/>
    <w:basedOn w:val="TableNormal"/>
    <w:next w:val="MediumGrid3-Accent1"/>
    <w:uiPriority w:val="69"/>
    <w:rsid w:val="00574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574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nhideWhenUsed/>
    <w:rsid w:val="0057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DAE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7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DAE"/>
    <w:rPr>
      <w:rFonts w:ascii="Calibri" w:eastAsia="Calibri" w:hAnsi="Calibri" w:cs="Times New Roman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54"/>
    <w:rPr>
      <w:rFonts w:ascii="Tahoma" w:eastAsia="Calibri" w:hAnsi="Tahoma" w:cs="Tahoma"/>
      <w:sz w:val="16"/>
      <w:szCs w:val="16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54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214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214"/>
    <w:rPr>
      <w:rFonts w:ascii="Calibri" w:eastAsia="Calibri" w:hAnsi="Calibri" w:cs="Times New Roman"/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Nobathembu Tyesi</dc:creator>
  <cp:lastModifiedBy>Lebo Tumane</cp:lastModifiedBy>
  <cp:revision>5</cp:revision>
  <cp:lastPrinted>2019-04-03T12:35:00Z</cp:lastPrinted>
  <dcterms:created xsi:type="dcterms:W3CDTF">2019-04-03T12:30:00Z</dcterms:created>
  <dcterms:modified xsi:type="dcterms:W3CDTF">2019-04-03T12:51:00Z</dcterms:modified>
</cp:coreProperties>
</file>